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A" w:rsidRDefault="00B849AF" w:rsidP="008B347F">
      <w:pPr>
        <w:pStyle w:val="Heading1"/>
        <w:ind w:firstLine="0"/>
        <w:jc w:val="both"/>
        <w:rPr>
          <w:sz w:val="32"/>
        </w:rPr>
      </w:pPr>
      <w:r w:rsidRPr="001D4679">
        <w:rPr>
          <w:sz w:val="32"/>
        </w:rPr>
        <w:t xml:space="preserve">Recrystallization </w:t>
      </w:r>
      <w:r w:rsidR="001D4679" w:rsidRPr="001D4679">
        <w:rPr>
          <w:sz w:val="32"/>
        </w:rPr>
        <w:t>and Melting Points</w:t>
      </w:r>
    </w:p>
    <w:p w:rsidR="00B849AF" w:rsidRPr="007D5046" w:rsidRDefault="00B849AF" w:rsidP="008B347F">
      <w:pPr>
        <w:pStyle w:val="Heading1"/>
        <w:ind w:firstLine="0"/>
        <w:jc w:val="both"/>
        <w:rPr>
          <w:rFonts w:ascii="Times New Roman" w:hAnsi="Times New Roman"/>
          <w:b w:val="0"/>
          <w:szCs w:val="24"/>
        </w:rPr>
      </w:pPr>
      <w:r w:rsidRPr="00F973EA">
        <w:rPr>
          <w:rFonts w:ascii="Times New Roman" w:hAnsi="Times New Roman"/>
          <w:b w:val="0"/>
        </w:rPr>
        <w:t>Recrystallization is an important method for the purification of solids.  In this experiment you will be given an impure sample of an unknown organic solid which you will purify by recrystallization and identify by determining its melting point.</w:t>
      </w:r>
    </w:p>
    <w:p w:rsidR="001F6E01" w:rsidRDefault="001F6E01"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7563DF" w:rsidRPr="007563DF" w:rsidRDefault="001F6E01"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Required Reading</w:t>
      </w:r>
      <w:r w:rsidR="00C160E3">
        <w:rPr>
          <w:rFonts w:ascii="Times New Roman" w:hAnsi="Times New Roman"/>
          <w:b/>
        </w:rPr>
        <w:t xml:space="preserve"> (</w:t>
      </w:r>
      <w:proofErr w:type="spellStart"/>
      <w:r w:rsidR="00C160E3">
        <w:rPr>
          <w:rFonts w:ascii="Times New Roman" w:hAnsi="Times New Roman"/>
          <w:b/>
        </w:rPr>
        <w:t>Padias</w:t>
      </w:r>
      <w:proofErr w:type="spellEnd"/>
      <w:r w:rsidR="00C160E3">
        <w:rPr>
          <w:rFonts w:ascii="Times New Roman" w:hAnsi="Times New Roman"/>
          <w:b/>
        </w:rPr>
        <w:t>)</w:t>
      </w:r>
      <w:r>
        <w:rPr>
          <w:rFonts w:ascii="Times New Roman" w:hAnsi="Times New Roman"/>
          <w:b/>
        </w:rPr>
        <w:t>:</w:t>
      </w:r>
    </w:p>
    <w:tbl>
      <w:tblPr>
        <w:tblW w:w="0" w:type="auto"/>
        <w:jc w:val="center"/>
        <w:tblLook w:val="04A0" w:firstRow="1" w:lastRow="0" w:firstColumn="1" w:lastColumn="0" w:noHBand="0" w:noVBand="1"/>
      </w:tblPr>
      <w:tblGrid>
        <w:gridCol w:w="2304"/>
        <w:gridCol w:w="2304"/>
        <w:gridCol w:w="2304"/>
      </w:tblGrid>
      <w:tr w:rsidR="00902D91" w:rsidRPr="007563DF" w:rsidTr="002C0210">
        <w:trPr>
          <w:trHeight w:val="216"/>
          <w:jc w:val="center"/>
        </w:trPr>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Topic</w:t>
            </w:r>
          </w:p>
        </w:tc>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2</w:t>
            </w:r>
            <w:r w:rsidRPr="002C0210">
              <w:rPr>
                <w:rFonts w:ascii="Times New Roman" w:hAnsi="Times New Roman"/>
                <w:b/>
                <w:sz w:val="20"/>
                <w:u w:val="single"/>
                <w:vertAlign w:val="superscript"/>
              </w:rPr>
              <w:t>nd</w:t>
            </w:r>
            <w:r w:rsidRPr="002C0210">
              <w:rPr>
                <w:rFonts w:ascii="Times New Roman" w:hAnsi="Times New Roman"/>
                <w:b/>
                <w:sz w:val="20"/>
                <w:u w:val="single"/>
              </w:rPr>
              <w:t xml:space="preserve"> Edition</w:t>
            </w:r>
          </w:p>
        </w:tc>
        <w:tc>
          <w:tcPr>
            <w:tcW w:w="2304" w:type="dxa"/>
            <w:shd w:val="clear" w:color="auto" w:fill="auto"/>
            <w:vAlign w:val="center"/>
          </w:tcPr>
          <w:p w:rsidR="00C160E3" w:rsidRPr="002C0210" w:rsidRDefault="00C160E3" w:rsidP="00902D91">
            <w:pPr>
              <w:jc w:val="center"/>
              <w:rPr>
                <w:rFonts w:ascii="Times New Roman" w:hAnsi="Times New Roman"/>
                <w:b/>
                <w:sz w:val="20"/>
                <w:u w:val="single"/>
              </w:rPr>
            </w:pPr>
            <w:r w:rsidRPr="002C0210">
              <w:rPr>
                <w:rFonts w:ascii="Times New Roman" w:hAnsi="Times New Roman"/>
                <w:b/>
                <w:sz w:val="20"/>
                <w:u w:val="single"/>
              </w:rPr>
              <w:t>3</w:t>
            </w:r>
            <w:r w:rsidRPr="002C0210">
              <w:rPr>
                <w:rFonts w:ascii="Times New Roman" w:hAnsi="Times New Roman"/>
                <w:b/>
                <w:sz w:val="20"/>
                <w:u w:val="single"/>
                <w:vertAlign w:val="superscript"/>
              </w:rPr>
              <w:t>rd</w:t>
            </w:r>
            <w:r w:rsidRPr="002C0210">
              <w:rPr>
                <w:rFonts w:ascii="Times New Roman" w:hAnsi="Times New Roman"/>
                <w:b/>
                <w:sz w:val="20"/>
                <w:u w:val="single"/>
              </w:rPr>
              <w:t xml:space="preserve"> Edition</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Laboratory Notebook</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5 – 13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5 – 13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Basic Lab Techniques</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16 – 30</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16 – 30</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 Recovery Calculation</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 15</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 15</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Solvents, Solubility</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37 – 43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37 – 43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Melting Point</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47 – 53</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47 – 53</w:t>
            </w:r>
          </w:p>
        </w:tc>
      </w:tr>
      <w:tr w:rsidR="00902D91" w:rsidRPr="007563DF" w:rsidTr="002C0210">
        <w:trPr>
          <w:trHeight w:val="216"/>
          <w:jc w:val="center"/>
        </w:trPr>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Recrystallization</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119 – 127</w:t>
            </w:r>
          </w:p>
        </w:tc>
        <w:tc>
          <w:tcPr>
            <w:tcW w:w="2304" w:type="dxa"/>
            <w:shd w:val="clear" w:color="auto" w:fill="auto"/>
            <w:vAlign w:val="center"/>
          </w:tcPr>
          <w:p w:rsidR="00C160E3" w:rsidRPr="007563DF" w:rsidRDefault="00C160E3" w:rsidP="00902D91">
            <w:pPr>
              <w:jc w:val="center"/>
              <w:rPr>
                <w:rFonts w:ascii="Times New Roman" w:hAnsi="Times New Roman"/>
                <w:sz w:val="20"/>
              </w:rPr>
            </w:pPr>
            <w:r w:rsidRPr="007563DF">
              <w:rPr>
                <w:rFonts w:ascii="Times New Roman" w:hAnsi="Times New Roman"/>
                <w:sz w:val="20"/>
              </w:rPr>
              <w:t>pp. 121 – 129</w:t>
            </w:r>
          </w:p>
        </w:tc>
      </w:tr>
    </w:tbl>
    <w:p w:rsidR="00C160E3" w:rsidRDefault="00C160E3" w:rsidP="00C160E3">
      <w:pPr>
        <w:jc w:val="both"/>
        <w:rPr>
          <w:rFonts w:ascii="Times New Roman" w:hAnsi="Times New Roman"/>
        </w:rPr>
      </w:pPr>
    </w:p>
    <w:p w:rsidR="00B849AF" w:rsidRPr="004D3B80" w:rsidRDefault="00B849AF" w:rsidP="00C160E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b/>
        </w:rPr>
      </w:pPr>
      <w:r w:rsidRPr="004D3B80">
        <w:rPr>
          <w:rFonts w:ascii="Times New Roman" w:hAnsi="Times New Roman"/>
          <w:b/>
        </w:rPr>
        <w:t>Safety:</w:t>
      </w:r>
    </w:p>
    <w:p w:rsidR="00B849AF" w:rsidRPr="004D3B80" w:rsidRDefault="00B849A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D3B80">
        <w:rPr>
          <w:rFonts w:ascii="Times New Roman" w:hAnsi="Times New Roman"/>
        </w:rPr>
        <w:t xml:space="preserve">Be certain to </w:t>
      </w:r>
      <w:r w:rsidR="00A10549">
        <w:rPr>
          <w:rFonts w:ascii="Times New Roman" w:hAnsi="Times New Roman"/>
        </w:rPr>
        <w:t>frequently stir</w:t>
      </w:r>
      <w:r w:rsidR="006078A7">
        <w:rPr>
          <w:rFonts w:ascii="Times New Roman" w:hAnsi="Times New Roman"/>
        </w:rPr>
        <w:t xml:space="preserve"> or swirl </w:t>
      </w:r>
      <w:r w:rsidRPr="004D3B80">
        <w:rPr>
          <w:rFonts w:ascii="Times New Roman" w:hAnsi="Times New Roman"/>
        </w:rPr>
        <w:t xml:space="preserve">any liquid </w:t>
      </w:r>
      <w:r w:rsidR="002565BD">
        <w:rPr>
          <w:rFonts w:ascii="Times New Roman" w:hAnsi="Times New Roman"/>
        </w:rPr>
        <w:t>while</w:t>
      </w:r>
      <w:r w:rsidR="002565BD" w:rsidRPr="004D3B80">
        <w:rPr>
          <w:rFonts w:ascii="Times New Roman" w:hAnsi="Times New Roman"/>
        </w:rPr>
        <w:t xml:space="preserve"> </w:t>
      </w:r>
      <w:r w:rsidRPr="004D3B80">
        <w:rPr>
          <w:rFonts w:ascii="Times New Roman" w:hAnsi="Times New Roman"/>
        </w:rPr>
        <w:t>heating it</w:t>
      </w:r>
      <w:r w:rsidR="001F6E01">
        <w:rPr>
          <w:rFonts w:ascii="Times New Roman" w:hAnsi="Times New Roman"/>
        </w:rPr>
        <w:t xml:space="preserve"> to prevent “bumping</w:t>
      </w:r>
      <w:r w:rsidR="002C0210">
        <w:rPr>
          <w:rFonts w:ascii="Times New Roman" w:hAnsi="Times New Roman"/>
        </w:rPr>
        <w:t>.</w:t>
      </w:r>
      <w:r w:rsidR="001F6E01">
        <w:rPr>
          <w:rFonts w:ascii="Times New Roman" w:hAnsi="Times New Roman"/>
        </w:rPr>
        <w:t>”</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8B347F" w:rsidRDefault="00B849A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sidRPr="004D3B80">
        <w:rPr>
          <w:rFonts w:ascii="Times New Roman" w:hAnsi="Times New Roman"/>
          <w:b/>
        </w:rPr>
        <w:t>Procedure:</w:t>
      </w:r>
    </w:p>
    <w:p w:rsidR="004D3B80" w:rsidRPr="008B347F" w:rsidRDefault="008B347F"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sidRPr="008B347F">
        <w:rPr>
          <w:rFonts w:ascii="Times New Roman" w:hAnsi="Times New Roman"/>
        </w:rPr>
        <w:t>T</w:t>
      </w:r>
      <w:r w:rsidR="00B849AF" w:rsidRPr="004D3B80">
        <w:rPr>
          <w:rFonts w:ascii="Times New Roman" w:hAnsi="Times New Roman"/>
        </w:rPr>
        <w:t xml:space="preserve">o a </w:t>
      </w:r>
      <w:r w:rsidR="00F5497B">
        <w:rPr>
          <w:rFonts w:ascii="Times New Roman" w:hAnsi="Times New Roman"/>
        </w:rPr>
        <w:t>50-mL</w:t>
      </w:r>
      <w:r w:rsidR="00B849AF" w:rsidRPr="004D3B80">
        <w:rPr>
          <w:rFonts w:ascii="Times New Roman" w:hAnsi="Times New Roman"/>
        </w:rPr>
        <w:t xml:space="preserve"> Erlenmeyer flask </w:t>
      </w:r>
      <w:r>
        <w:rPr>
          <w:rFonts w:ascii="Times New Roman" w:hAnsi="Times New Roman"/>
        </w:rPr>
        <w:t>a</w:t>
      </w:r>
      <w:r w:rsidRPr="004D3B80">
        <w:rPr>
          <w:rFonts w:ascii="Times New Roman" w:hAnsi="Times New Roman"/>
        </w:rPr>
        <w:t xml:space="preserve">dd about </w:t>
      </w:r>
      <w:r w:rsidR="00F5497B">
        <w:rPr>
          <w:rFonts w:ascii="Times New Roman" w:hAnsi="Times New Roman"/>
        </w:rPr>
        <w:t>0.5</w:t>
      </w:r>
      <w:r w:rsidRPr="004D3B80">
        <w:rPr>
          <w:rFonts w:ascii="Times New Roman" w:hAnsi="Times New Roman"/>
        </w:rPr>
        <w:t xml:space="preserve"> gram of a solid unknown</w:t>
      </w:r>
      <w:r w:rsidR="003727BB">
        <w:rPr>
          <w:rFonts w:ascii="Times New Roman" w:hAnsi="Times New Roman"/>
        </w:rPr>
        <w:t>.  Add 10 mL of water</w:t>
      </w:r>
      <w:r w:rsidR="00E65251">
        <w:rPr>
          <w:rFonts w:ascii="Times New Roman" w:hAnsi="Times New Roman"/>
        </w:rPr>
        <w:t xml:space="preserve"> and a boiling stick</w:t>
      </w:r>
      <w:r w:rsidR="004A5BE0">
        <w:rPr>
          <w:rFonts w:ascii="Times New Roman" w:hAnsi="Times New Roman"/>
        </w:rPr>
        <w:t>, then</w:t>
      </w:r>
      <w:r w:rsidR="003727BB">
        <w:rPr>
          <w:rFonts w:ascii="Times New Roman" w:hAnsi="Times New Roman"/>
        </w:rPr>
        <w:t xml:space="preserve"> </w:t>
      </w:r>
      <w:r w:rsidR="00B849AF" w:rsidRPr="004D3B80">
        <w:rPr>
          <w:rFonts w:ascii="Times New Roman" w:hAnsi="Times New Roman"/>
        </w:rPr>
        <w:t xml:space="preserve">heat the </w:t>
      </w:r>
      <w:r w:rsidR="003727BB">
        <w:rPr>
          <w:rFonts w:ascii="Times New Roman" w:hAnsi="Times New Roman"/>
        </w:rPr>
        <w:t>flask until the contents boil</w:t>
      </w:r>
      <w:r w:rsidR="00B849AF" w:rsidRPr="004D3B80">
        <w:rPr>
          <w:rFonts w:ascii="Times New Roman" w:hAnsi="Times New Roman"/>
        </w:rPr>
        <w:t xml:space="preserve">. </w:t>
      </w:r>
      <w:r w:rsidR="002565BD">
        <w:rPr>
          <w:rFonts w:ascii="Times New Roman" w:hAnsi="Times New Roman"/>
        </w:rPr>
        <w:t xml:space="preserve">Be sure to </w:t>
      </w:r>
      <w:r w:rsidR="002C4B57">
        <w:rPr>
          <w:rFonts w:ascii="Times New Roman" w:hAnsi="Times New Roman"/>
        </w:rPr>
        <w:t>swirl</w:t>
      </w:r>
      <w:r w:rsidR="002565BD">
        <w:rPr>
          <w:rFonts w:ascii="Times New Roman" w:hAnsi="Times New Roman"/>
        </w:rPr>
        <w:t xml:space="preserve"> the mixture often while heating; </w:t>
      </w:r>
      <w:r w:rsidR="002C4B57">
        <w:rPr>
          <w:rFonts w:ascii="Times New Roman" w:hAnsi="Times New Roman"/>
        </w:rPr>
        <w:t>when the mixture reaches boiling, swirl</w:t>
      </w:r>
      <w:r w:rsidR="002565BD" w:rsidRPr="004D3B80">
        <w:rPr>
          <w:rFonts w:ascii="Times New Roman" w:hAnsi="Times New Roman"/>
        </w:rPr>
        <w:t xml:space="preserve"> </w:t>
      </w:r>
      <w:r w:rsidR="00B849AF" w:rsidRPr="004D3B80">
        <w:rPr>
          <w:rFonts w:ascii="Times New Roman" w:hAnsi="Times New Roman"/>
        </w:rPr>
        <w:t>the hot mixture for about one minute.</w:t>
      </w:r>
      <w:r w:rsidR="003F73F7">
        <w:rPr>
          <w:rFonts w:ascii="Times New Roman" w:hAnsi="Times New Roman"/>
        </w:rPr>
        <w:t xml:space="preserve"> If necessary, add water to maintain volume during boiling.</w:t>
      </w:r>
      <w:r w:rsidR="00B849AF" w:rsidRPr="004D3B80">
        <w:rPr>
          <w:rFonts w:ascii="Times New Roman" w:hAnsi="Times New Roman"/>
        </w:rPr>
        <w:t xml:space="preserve">  Continue to add water</w:t>
      </w:r>
      <w:r w:rsidR="000A3646">
        <w:rPr>
          <w:rFonts w:ascii="Times New Roman" w:hAnsi="Times New Roman"/>
        </w:rPr>
        <w:t xml:space="preserve"> to the flask, 2-3 mL at a time, </w:t>
      </w:r>
      <w:r w:rsidR="003727BB">
        <w:rPr>
          <w:rFonts w:ascii="Times New Roman" w:hAnsi="Times New Roman"/>
        </w:rPr>
        <w:t>boiling</w:t>
      </w:r>
      <w:r w:rsidR="00B849AF" w:rsidRPr="004D3B80">
        <w:rPr>
          <w:rFonts w:ascii="Times New Roman" w:hAnsi="Times New Roman"/>
        </w:rPr>
        <w:t xml:space="preserve"> for one minute after each addition until the unknown dissolves.</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4D3B80" w:rsidRPr="004D3B80" w:rsidRDefault="00DA6FB5"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Once the unknown has dissolved, r</w:t>
      </w:r>
      <w:r w:rsidR="00F5497B">
        <w:rPr>
          <w:rFonts w:ascii="Times New Roman" w:hAnsi="Times New Roman"/>
        </w:rPr>
        <w:t>emove the flask from the heat</w:t>
      </w:r>
      <w:r w:rsidR="00E65251">
        <w:rPr>
          <w:rFonts w:ascii="Times New Roman" w:hAnsi="Times New Roman"/>
        </w:rPr>
        <w:t>, remove the boiling stick,</w:t>
      </w:r>
      <w:r w:rsidR="00F5497B">
        <w:rPr>
          <w:rFonts w:ascii="Times New Roman" w:hAnsi="Times New Roman"/>
        </w:rPr>
        <w:t xml:space="preserve"> and allow the solution</w:t>
      </w:r>
      <w:r w:rsidR="00B849AF" w:rsidRPr="004D3B80">
        <w:rPr>
          <w:rFonts w:ascii="Times New Roman" w:hAnsi="Times New Roman"/>
        </w:rPr>
        <w:t xml:space="preserve"> to cool slowly to room temperature. If no crystals have formed after cooling, scratch the inner wall of the flask with a glass rod to induce crystallization. Once crystal formation has ceased, cool the flask in an ice bath for 10 minutes to precipitate more crystals.</w:t>
      </w:r>
    </w:p>
    <w:p w:rsidR="004D3B80" w:rsidRPr="004D3B80" w:rsidRDefault="004D3B80" w:rsidP="008B34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p>
    <w:p w:rsidR="007563DF" w:rsidRDefault="00B849A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sidRPr="004D3B80">
        <w:rPr>
          <w:rFonts w:ascii="Times New Roman" w:hAnsi="Times New Roman"/>
        </w:rPr>
        <w:t xml:space="preserve">Collect the recrystallized solid by vacuum filtration using a </w:t>
      </w:r>
      <w:proofErr w:type="spellStart"/>
      <w:r w:rsidRPr="004D3B80">
        <w:rPr>
          <w:rFonts w:ascii="Times New Roman" w:hAnsi="Times New Roman"/>
        </w:rPr>
        <w:t>Büchner</w:t>
      </w:r>
      <w:proofErr w:type="spellEnd"/>
      <w:r w:rsidRPr="004D3B80">
        <w:rPr>
          <w:rFonts w:ascii="Times New Roman" w:hAnsi="Times New Roman"/>
        </w:rPr>
        <w:t xml:space="preserve"> funnel. Wash the crystals with a few mL of </w:t>
      </w:r>
      <w:r w:rsidR="006B2650" w:rsidRPr="006B2650">
        <w:rPr>
          <w:rFonts w:ascii="Times New Roman" w:hAnsi="Times New Roman"/>
          <w:i/>
        </w:rPr>
        <w:t>ice-</w:t>
      </w:r>
      <w:r w:rsidRPr="004D3B80">
        <w:rPr>
          <w:rFonts w:ascii="Times New Roman" w:hAnsi="Times New Roman"/>
          <w:i/>
        </w:rPr>
        <w:t>cold</w:t>
      </w:r>
      <w:r w:rsidRPr="004D3B80">
        <w:rPr>
          <w:rFonts w:ascii="Times New Roman" w:hAnsi="Times New Roman"/>
        </w:rPr>
        <w:t xml:space="preserve"> water, and press them down with a spatula. Allow the vacuum to pull for at least 10 minutes to help dry the crystals. </w:t>
      </w:r>
      <w:r w:rsidR="009201DC">
        <w:rPr>
          <w:rFonts w:ascii="Times New Roman" w:hAnsi="Times New Roman"/>
        </w:rPr>
        <w:t xml:space="preserve">Place the product in a labelled, pre-weighed beaker and allow it to dry (uncovered) in the hood for at least </w:t>
      </w:r>
      <w:r w:rsidR="006B06F6">
        <w:rPr>
          <w:rFonts w:ascii="Times New Roman" w:hAnsi="Times New Roman"/>
        </w:rPr>
        <w:t>one</w:t>
      </w:r>
      <w:r w:rsidR="009201DC">
        <w:rPr>
          <w:rFonts w:ascii="Times New Roman" w:hAnsi="Times New Roman"/>
        </w:rPr>
        <w:t xml:space="preserve"> day. Reweigh the beaker to</w:t>
      </w:r>
      <w:r w:rsidRPr="004D3B80">
        <w:rPr>
          <w:rFonts w:ascii="Times New Roman" w:hAnsi="Times New Roman"/>
        </w:rPr>
        <w:t xml:space="preserve"> determine the mass of the recrystallized unknown. Determine the melting point of the unknown and try to identify it from the table below. Conduct a mixed melting point experiment by melting a mixture of your unknown and the authentic sample you believe your solid unknown to be. If you observe a melting point depression of 5 </w:t>
      </w:r>
      <w:proofErr w:type="spellStart"/>
      <w:r w:rsidRPr="004D3B80">
        <w:rPr>
          <w:rFonts w:ascii="Times New Roman" w:hAnsi="Times New Roman"/>
          <w:vertAlign w:val="superscript"/>
        </w:rPr>
        <w:t>o</w:t>
      </w:r>
      <w:r w:rsidRPr="004D3B80">
        <w:rPr>
          <w:rFonts w:ascii="Times New Roman" w:hAnsi="Times New Roman"/>
        </w:rPr>
        <w:t>C</w:t>
      </w:r>
      <w:proofErr w:type="spellEnd"/>
      <w:r w:rsidRPr="004D3B80">
        <w:rPr>
          <w:rFonts w:ascii="Times New Roman" w:hAnsi="Times New Roman"/>
        </w:rPr>
        <w:t xml:space="preserve"> or greater, repeat the mixed melting point experiment </w:t>
      </w:r>
      <w:r w:rsidR="000A3646">
        <w:rPr>
          <w:rFonts w:ascii="Times New Roman" w:hAnsi="Times New Roman"/>
        </w:rPr>
        <w:t>using</w:t>
      </w:r>
      <w:r w:rsidRPr="004D3B80">
        <w:rPr>
          <w:rFonts w:ascii="Times New Roman" w:hAnsi="Times New Roman"/>
        </w:rPr>
        <w:t xml:space="preserve"> the </w:t>
      </w:r>
      <w:r w:rsidR="003C558C">
        <w:rPr>
          <w:rFonts w:ascii="Times New Roman" w:hAnsi="Times New Roman"/>
        </w:rPr>
        <w:t>authentic sample</w:t>
      </w:r>
      <w:r w:rsidRPr="004D3B80">
        <w:rPr>
          <w:rFonts w:ascii="Times New Roman" w:hAnsi="Times New Roman"/>
        </w:rPr>
        <w:t xml:space="preserve"> with the next closest melting point.</w:t>
      </w:r>
    </w:p>
    <w:p w:rsidR="007563DF" w:rsidRDefault="007563D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p>
    <w:p w:rsidR="007D5046" w:rsidRDefault="007D5046"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 xml:space="preserve">Possible </w:t>
      </w:r>
      <w:r w:rsidR="001D4679">
        <w:rPr>
          <w:rFonts w:ascii="Times New Roman" w:hAnsi="Times New Roman"/>
          <w:b/>
        </w:rPr>
        <w:t>Recrystallization</w:t>
      </w:r>
      <w:r w:rsidR="00B849AF" w:rsidRPr="001D4679">
        <w:rPr>
          <w:rFonts w:ascii="Times New Roman" w:hAnsi="Times New Roman"/>
          <w:b/>
        </w:rPr>
        <w:t xml:space="preserve"> Unknowns</w:t>
      </w:r>
    </w:p>
    <w:p w:rsidR="007563DF" w:rsidRPr="007563DF" w:rsidRDefault="007563DF" w:rsidP="007563D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0"/>
        </w:rPr>
      </w:pPr>
    </w:p>
    <w:tbl>
      <w:tblPr>
        <w:tblW w:w="0" w:type="auto"/>
        <w:jc w:val="center"/>
        <w:tblLayout w:type="fixed"/>
        <w:tblLook w:val="0000" w:firstRow="0" w:lastRow="0" w:firstColumn="0" w:lastColumn="0" w:noHBand="0" w:noVBand="0"/>
      </w:tblPr>
      <w:tblGrid>
        <w:gridCol w:w="3960"/>
        <w:gridCol w:w="1114"/>
      </w:tblGrid>
      <w:tr w:rsidR="00B849AF" w:rsidRPr="009A059E" w:rsidTr="009A059E">
        <w:trPr>
          <w:trHeight w:val="216"/>
          <w:jc w:val="center"/>
        </w:trPr>
        <w:tc>
          <w:tcPr>
            <w:tcW w:w="3960" w:type="dxa"/>
            <w:tcBorders>
              <w:bottom w:val="single" w:sz="4" w:space="0" w:color="auto"/>
            </w:tcBorders>
          </w:tcPr>
          <w:p w:rsidR="00B849AF" w:rsidRPr="009A059E" w:rsidRDefault="00B849AF" w:rsidP="008B347F">
            <w:pPr>
              <w:pStyle w:val="Heading6"/>
              <w:rPr>
                <w:sz w:val="20"/>
              </w:rPr>
            </w:pPr>
            <w:r w:rsidRPr="009A059E">
              <w:rPr>
                <w:sz w:val="20"/>
              </w:rPr>
              <w:t>Compound</w:t>
            </w:r>
          </w:p>
        </w:tc>
        <w:tc>
          <w:tcPr>
            <w:tcW w:w="1114" w:type="dxa"/>
            <w:tcBorders>
              <w:bottom w:val="single" w:sz="4" w:space="0" w:color="auto"/>
            </w:tcBorders>
          </w:tcPr>
          <w:p w:rsidR="00B849AF" w:rsidRPr="009A059E" w:rsidRDefault="00B849AF" w:rsidP="008B347F">
            <w:pPr>
              <w:jc w:val="both"/>
              <w:rPr>
                <w:i/>
                <w:sz w:val="20"/>
              </w:rPr>
            </w:pPr>
            <w:proofErr w:type="spellStart"/>
            <w:r w:rsidRPr="009A059E">
              <w:rPr>
                <w:i/>
                <w:sz w:val="20"/>
              </w:rPr>
              <w:t>mp</w:t>
            </w:r>
            <w:proofErr w:type="spellEnd"/>
            <w:r w:rsidRPr="009A059E">
              <w:rPr>
                <w:i/>
                <w:sz w:val="20"/>
              </w:rPr>
              <w:t xml:space="preserve"> (</w:t>
            </w:r>
            <w:proofErr w:type="spellStart"/>
            <w:r w:rsidRPr="009A059E">
              <w:rPr>
                <w:i/>
                <w:sz w:val="20"/>
                <w:vertAlign w:val="superscript"/>
              </w:rPr>
              <w:t>o</w:t>
            </w:r>
            <w:r w:rsidRPr="009A059E">
              <w:rPr>
                <w:i/>
                <w:sz w:val="20"/>
              </w:rPr>
              <w:t>C</w:t>
            </w:r>
            <w:proofErr w:type="spellEnd"/>
            <w:r w:rsidRPr="009A059E">
              <w:rPr>
                <w:i/>
                <w:sz w:val="20"/>
              </w:rPr>
              <w:t>)</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o</w:t>
            </w:r>
            <w:r w:rsidRPr="009A059E">
              <w:rPr>
                <w:sz w:val="20"/>
              </w:rPr>
              <w:t>-</w:t>
            </w:r>
            <w:proofErr w:type="spellStart"/>
            <w:r w:rsidRPr="009A059E">
              <w:rPr>
                <w:sz w:val="20"/>
              </w:rPr>
              <w:t>toluic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103-105</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m</w:t>
            </w:r>
            <w:r w:rsidRPr="009A059E">
              <w:rPr>
                <w:sz w:val="20"/>
              </w:rPr>
              <w:t>-</w:t>
            </w:r>
            <w:proofErr w:type="spellStart"/>
            <w:r w:rsidRPr="009A059E">
              <w:rPr>
                <w:sz w:val="20"/>
              </w:rPr>
              <w:t>toluic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108-112</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sz w:val="20"/>
              </w:rPr>
              <w:t>benzoic acid</w:t>
            </w:r>
          </w:p>
        </w:tc>
        <w:tc>
          <w:tcPr>
            <w:tcW w:w="1114" w:type="dxa"/>
          </w:tcPr>
          <w:p w:rsidR="001D4679" w:rsidRPr="009A059E" w:rsidRDefault="001D4679" w:rsidP="008B347F">
            <w:pPr>
              <w:jc w:val="both"/>
              <w:rPr>
                <w:sz w:val="20"/>
              </w:rPr>
            </w:pPr>
            <w:r w:rsidRPr="009A059E">
              <w:rPr>
                <w:sz w:val="20"/>
              </w:rPr>
              <w:t>122-123</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trans</w:t>
            </w:r>
            <w:r w:rsidRPr="009A059E">
              <w:rPr>
                <w:sz w:val="20"/>
              </w:rPr>
              <w:t>-</w:t>
            </w:r>
            <w:proofErr w:type="spellStart"/>
            <w:r w:rsidRPr="009A059E">
              <w:rPr>
                <w:sz w:val="20"/>
              </w:rPr>
              <w:t>cinnamic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131-136</w:t>
            </w:r>
          </w:p>
        </w:tc>
      </w:tr>
      <w:tr w:rsidR="001D4679" w:rsidRPr="009A059E" w:rsidTr="009A059E">
        <w:trPr>
          <w:trHeight w:val="216"/>
          <w:jc w:val="center"/>
        </w:trPr>
        <w:tc>
          <w:tcPr>
            <w:tcW w:w="3960" w:type="dxa"/>
          </w:tcPr>
          <w:p w:rsidR="001D4679" w:rsidRPr="009A059E" w:rsidRDefault="001D4679" w:rsidP="008B347F">
            <w:pPr>
              <w:jc w:val="both"/>
              <w:rPr>
                <w:sz w:val="20"/>
              </w:rPr>
            </w:pPr>
            <w:r w:rsidRPr="009A059E">
              <w:rPr>
                <w:i/>
                <w:sz w:val="20"/>
              </w:rPr>
              <w:t>m</w:t>
            </w:r>
            <w:r w:rsidRPr="009A059E">
              <w:rPr>
                <w:sz w:val="20"/>
              </w:rPr>
              <w:t>-</w:t>
            </w:r>
            <w:proofErr w:type="spellStart"/>
            <w:r w:rsidRPr="009A059E">
              <w:rPr>
                <w:sz w:val="20"/>
              </w:rPr>
              <w:t>nitrobenzoic</w:t>
            </w:r>
            <w:proofErr w:type="spellEnd"/>
            <w:r w:rsidRPr="009A059E">
              <w:rPr>
                <w:sz w:val="20"/>
              </w:rPr>
              <w:t xml:space="preserve"> acid</w:t>
            </w:r>
          </w:p>
        </w:tc>
        <w:tc>
          <w:tcPr>
            <w:tcW w:w="1114" w:type="dxa"/>
          </w:tcPr>
          <w:p w:rsidR="001D4679" w:rsidRPr="009A059E" w:rsidRDefault="001D4679" w:rsidP="008B347F">
            <w:pPr>
              <w:jc w:val="both"/>
              <w:rPr>
                <w:sz w:val="20"/>
              </w:rPr>
            </w:pPr>
            <w:r w:rsidRPr="009A059E">
              <w:rPr>
                <w:sz w:val="20"/>
              </w:rPr>
              <w:t>140-142</w:t>
            </w:r>
          </w:p>
        </w:tc>
      </w:tr>
      <w:tr w:rsidR="001D4679" w:rsidRPr="009A059E" w:rsidTr="009A059E">
        <w:trPr>
          <w:trHeight w:val="216"/>
          <w:jc w:val="center"/>
        </w:trPr>
        <w:tc>
          <w:tcPr>
            <w:tcW w:w="3960" w:type="dxa"/>
            <w:tcBorders>
              <w:bottom w:val="single" w:sz="4" w:space="0" w:color="auto"/>
            </w:tcBorders>
          </w:tcPr>
          <w:p w:rsidR="001D4679" w:rsidRPr="009A059E" w:rsidRDefault="001D4679" w:rsidP="008B347F">
            <w:pPr>
              <w:jc w:val="both"/>
              <w:rPr>
                <w:sz w:val="20"/>
              </w:rPr>
            </w:pPr>
            <w:r w:rsidRPr="009A059E">
              <w:rPr>
                <w:sz w:val="20"/>
              </w:rPr>
              <w:t>salicylic acid</w:t>
            </w:r>
          </w:p>
        </w:tc>
        <w:tc>
          <w:tcPr>
            <w:tcW w:w="1114" w:type="dxa"/>
            <w:tcBorders>
              <w:bottom w:val="single" w:sz="4" w:space="0" w:color="auto"/>
            </w:tcBorders>
          </w:tcPr>
          <w:p w:rsidR="001D4679" w:rsidRPr="009A059E" w:rsidRDefault="001D4679" w:rsidP="008B347F">
            <w:pPr>
              <w:jc w:val="both"/>
              <w:rPr>
                <w:sz w:val="20"/>
              </w:rPr>
            </w:pPr>
            <w:r w:rsidRPr="009A059E">
              <w:rPr>
                <w:sz w:val="20"/>
              </w:rPr>
              <w:t>158-161</w:t>
            </w:r>
          </w:p>
        </w:tc>
      </w:tr>
    </w:tbl>
    <w:p w:rsidR="00BE4FB0" w:rsidRDefault="00BE4FB0" w:rsidP="00A14AA7">
      <w:pPr>
        <w:pStyle w:val="Body"/>
        <w:tabs>
          <w:tab w:val="left" w:pos="6480"/>
          <w:tab w:val="left" w:pos="10080"/>
          <w:tab w:val="left" w:pos="10800"/>
          <w:tab w:val="left" w:pos="11520"/>
        </w:tabs>
        <w:rPr>
          <w:rFonts w:ascii="Times New Roman" w:hAnsi="Times New Roman"/>
        </w:rPr>
      </w:pPr>
    </w:p>
    <w:p w:rsidR="00A14AA7" w:rsidRDefault="00A14AA7" w:rsidP="00A14AA7">
      <w:pPr>
        <w:pStyle w:val="Body"/>
        <w:tabs>
          <w:tab w:val="left" w:pos="6480"/>
          <w:tab w:val="left" w:pos="10080"/>
          <w:tab w:val="left" w:pos="10800"/>
          <w:tab w:val="left" w:pos="11520"/>
        </w:tabs>
        <w:rPr>
          <w:rFonts w:ascii="Times New Roman" w:hAnsi="Times New Roman"/>
        </w:rPr>
        <w:sectPr w:rsidR="00A14AA7" w:rsidSect="00F21D4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pPr>
    </w:p>
    <w:p w:rsidR="00A14AA7" w:rsidRPr="00AA176F" w:rsidRDefault="00A14AA7" w:rsidP="00FB0CEA">
      <w:pPr>
        <w:pStyle w:val="Body"/>
        <w:rPr>
          <w:rFonts w:ascii="Times New Roman" w:hAnsi="Times New Roman"/>
          <w:u w:val="single"/>
        </w:rPr>
      </w:pPr>
      <w:r w:rsidRPr="00AA176F">
        <w:rPr>
          <w:rFonts w:ascii="Times New Roman" w:hAnsi="Times New Roman"/>
          <w:u w:val="single"/>
        </w:rPr>
        <w:lastRenderedPageBreak/>
        <w:t>Recrystallization Data</w:t>
      </w:r>
    </w:p>
    <w:p w:rsidR="00A14AA7" w:rsidRDefault="00A14AA7" w:rsidP="00FB0CEA">
      <w:pPr>
        <w:pStyle w:val="Body"/>
        <w:rPr>
          <w:rFonts w:ascii="Times New Roman" w:hAnsi="Times New Roman"/>
        </w:rPr>
      </w:pPr>
    </w:p>
    <w:p w:rsidR="00A14AA7" w:rsidRDefault="00A14AA7" w:rsidP="00FB0CEA">
      <w:pPr>
        <w:pStyle w:val="Body"/>
        <w:rPr>
          <w:rFonts w:ascii="Times New Roman" w:hAnsi="Times New Roman"/>
        </w:rPr>
      </w:pPr>
      <w:r>
        <w:rPr>
          <w:rFonts w:ascii="Times New Roman" w:hAnsi="Times New Roman"/>
        </w:rPr>
        <w:t>1.  Unknown number:  _________________</w:t>
      </w:r>
    </w:p>
    <w:p w:rsidR="00A14AA7" w:rsidRDefault="00A14AA7" w:rsidP="00FB0CEA">
      <w:pPr>
        <w:pStyle w:val="Body"/>
        <w:rPr>
          <w:rFonts w:ascii="Times New Roman" w:hAnsi="Times New Roman"/>
        </w:rPr>
      </w:pPr>
    </w:p>
    <w:p w:rsidR="00A14AA7" w:rsidRDefault="00A14AA7" w:rsidP="00FB0CEA">
      <w:pPr>
        <w:pStyle w:val="Body"/>
        <w:rPr>
          <w:rFonts w:ascii="Times New Roman" w:hAnsi="Times New Roman"/>
        </w:rPr>
      </w:pPr>
      <w:r>
        <w:rPr>
          <w:rFonts w:ascii="Times New Roman" w:hAnsi="Times New Roman"/>
        </w:rPr>
        <w:t>2.  Initial mass of unknown:  ______________</w:t>
      </w:r>
    </w:p>
    <w:p w:rsidR="00A14AA7" w:rsidRDefault="00A14AA7" w:rsidP="00FB0CEA">
      <w:pPr>
        <w:pStyle w:val="Body"/>
        <w:rPr>
          <w:rFonts w:ascii="Times New Roman" w:hAnsi="Times New Roman"/>
        </w:rPr>
      </w:pPr>
    </w:p>
    <w:p w:rsidR="00A14AA7" w:rsidRDefault="00A14AA7" w:rsidP="00FB0CEA">
      <w:r>
        <w:t>3.  Mass of recovered unknown:  ________________</w:t>
      </w:r>
    </w:p>
    <w:p w:rsidR="00A14AA7" w:rsidRDefault="00A14AA7" w:rsidP="00FB0CEA"/>
    <w:p w:rsidR="00A14AA7" w:rsidRDefault="00A14AA7" w:rsidP="00FB0CEA">
      <w:r>
        <w:t>4.  Percentage recovery:  ________________________________ (show calculation)</w:t>
      </w:r>
    </w:p>
    <w:p w:rsidR="00A14AA7" w:rsidRDefault="00A14AA7" w:rsidP="00FB0CEA"/>
    <w:p w:rsidR="00A14AA7" w:rsidRDefault="00A14AA7" w:rsidP="00FB0CEA"/>
    <w:p w:rsidR="00A14AA7" w:rsidRDefault="00A14AA7" w:rsidP="00FB0CEA"/>
    <w:p w:rsidR="00A14AA7" w:rsidRDefault="00A14AA7" w:rsidP="00FB0CEA"/>
    <w:p w:rsidR="00A14AA7" w:rsidRPr="002145A4" w:rsidRDefault="00A14AA7" w:rsidP="00FB0CEA"/>
    <w:p w:rsidR="00A14AA7" w:rsidRPr="007E343B" w:rsidRDefault="00A14AA7" w:rsidP="00FB0CEA">
      <w:pPr>
        <w:rPr>
          <w:u w:val="single"/>
        </w:rPr>
      </w:pPr>
      <w:r w:rsidRPr="007E343B">
        <w:rPr>
          <w:u w:val="single"/>
        </w:rPr>
        <w:t>Melting Point Data</w:t>
      </w:r>
    </w:p>
    <w:p w:rsidR="00A14AA7" w:rsidRDefault="00A14AA7" w:rsidP="00FB0CEA"/>
    <w:p w:rsidR="00A14AA7" w:rsidRDefault="00A14AA7" w:rsidP="00FB0CEA">
      <w:r>
        <w:t>5.  Approximate melting point:  ___________________</w:t>
      </w:r>
    </w:p>
    <w:p w:rsidR="00A14AA7" w:rsidRDefault="00A14AA7" w:rsidP="00FB0CEA"/>
    <w:p w:rsidR="00A14AA7" w:rsidRDefault="00A14AA7" w:rsidP="00FB0CEA">
      <w:r>
        <w:t>6.  Accurate melting point:  _____________________</w:t>
      </w:r>
    </w:p>
    <w:p w:rsidR="00A14AA7" w:rsidRDefault="00A14AA7" w:rsidP="00FB0CEA"/>
    <w:p w:rsidR="00A14AA7" w:rsidRDefault="00A14AA7" w:rsidP="00FB0CEA">
      <w:r>
        <w:t>7.  Preliminary identification of unknown:  ____________________________</w:t>
      </w:r>
    </w:p>
    <w:p w:rsidR="00A14AA7" w:rsidRDefault="00A14AA7" w:rsidP="00FB0CEA"/>
    <w:p w:rsidR="00A14AA7" w:rsidRDefault="00A14AA7" w:rsidP="00FB0CEA">
      <w:r>
        <w:t>8.  Mixture melting point with:</w:t>
      </w:r>
    </w:p>
    <w:p w:rsidR="00A14AA7" w:rsidRDefault="00A14AA7" w:rsidP="00FB0CEA"/>
    <w:p w:rsidR="00A14AA7" w:rsidRDefault="00A14AA7" w:rsidP="00FB0CEA">
      <w:pPr>
        <w:ind w:left="720"/>
      </w:pPr>
      <w:r>
        <w:t xml:space="preserve">__________________________, </w:t>
      </w:r>
      <w:proofErr w:type="spellStart"/>
      <w:r>
        <w:t>mp</w:t>
      </w:r>
      <w:proofErr w:type="spellEnd"/>
      <w:r>
        <w:t>:  _______________________</w:t>
      </w:r>
    </w:p>
    <w:p w:rsidR="00A14AA7" w:rsidRDefault="00A14AA7" w:rsidP="00FB0CEA">
      <w:pPr>
        <w:ind w:left="720"/>
      </w:pPr>
    </w:p>
    <w:p w:rsidR="00A14AA7" w:rsidRDefault="00A14AA7" w:rsidP="00FB0CEA">
      <w:pPr>
        <w:ind w:left="720"/>
      </w:pPr>
      <w:r>
        <w:t xml:space="preserve">__________________________, </w:t>
      </w:r>
      <w:proofErr w:type="spellStart"/>
      <w:r>
        <w:t>mp</w:t>
      </w:r>
      <w:proofErr w:type="spellEnd"/>
      <w:r>
        <w:t>:  _______________________</w:t>
      </w:r>
    </w:p>
    <w:p w:rsidR="00A14AA7" w:rsidRDefault="00A14AA7" w:rsidP="00FB0CEA">
      <w:pPr>
        <w:ind w:left="720"/>
      </w:pPr>
    </w:p>
    <w:p w:rsidR="00A14AA7" w:rsidRDefault="00A14AA7" w:rsidP="00FB0CEA">
      <w:pPr>
        <w:ind w:left="720"/>
      </w:pPr>
    </w:p>
    <w:p w:rsidR="00A14AA7" w:rsidRDefault="00A14AA7" w:rsidP="00FB0CEA">
      <w:r>
        <w:t>9.  Final identification of unknown:  __________________________________</w:t>
      </w:r>
    </w:p>
    <w:p w:rsidR="00A14AA7" w:rsidRDefault="00A14AA7" w:rsidP="00FB0CEA"/>
    <w:p w:rsidR="00A14AA7" w:rsidRDefault="00A14AA7" w:rsidP="00FB0CEA">
      <w:pPr>
        <w:ind w:left="360" w:hanging="360"/>
      </w:pPr>
      <w:r>
        <w:t>10. Explain how you made your preliminary identification of your unknown, and how you confirmed it.</w:t>
      </w:r>
    </w:p>
    <w:p w:rsidR="002E41AE" w:rsidRDefault="002E41AE" w:rsidP="00FB0CEA">
      <w:pPr>
        <w:rPr>
          <w:u w:val="single"/>
        </w:rPr>
      </w:pPr>
    </w:p>
    <w:p w:rsidR="002E41AE" w:rsidRPr="002E41AE" w:rsidRDefault="002E41AE" w:rsidP="002E41AE"/>
    <w:p w:rsidR="002E41AE" w:rsidRPr="002E41AE" w:rsidRDefault="002E41AE" w:rsidP="002E41AE"/>
    <w:p w:rsidR="002E41AE" w:rsidRPr="002E41AE" w:rsidRDefault="002E41AE" w:rsidP="002E41AE"/>
    <w:p w:rsidR="002E41AE" w:rsidRPr="002E41AE" w:rsidRDefault="002E41AE" w:rsidP="002E41AE"/>
    <w:p w:rsidR="002E41AE" w:rsidRDefault="002E41AE" w:rsidP="00FB0CEA"/>
    <w:p w:rsidR="002E41AE" w:rsidRDefault="002E41AE" w:rsidP="00FB0CEA"/>
    <w:p w:rsidR="00A14AA7" w:rsidRPr="00B23BE4" w:rsidRDefault="00A14AA7" w:rsidP="00FB0CEA">
      <w:pPr>
        <w:rPr>
          <w:b/>
          <w:u w:val="single"/>
        </w:rPr>
      </w:pPr>
      <w:r w:rsidRPr="002E41AE">
        <w:br w:type="page"/>
      </w:r>
      <w:r w:rsidRPr="00B23BE4">
        <w:rPr>
          <w:b/>
          <w:u w:val="single"/>
        </w:rPr>
        <w:lastRenderedPageBreak/>
        <w:t>Questions</w:t>
      </w:r>
    </w:p>
    <w:p w:rsidR="00B23BE4" w:rsidRPr="00A95EF5" w:rsidRDefault="00B23BE4" w:rsidP="00B23BE4">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A14AA7" w:rsidRDefault="00A14AA7" w:rsidP="00FB0CEA"/>
    <w:p w:rsidR="00A14AA7" w:rsidRDefault="00A14AA7" w:rsidP="00571D58">
      <w:pPr>
        <w:pStyle w:val="Body"/>
        <w:ind w:left="720" w:hanging="720"/>
        <w:jc w:val="both"/>
        <w:rPr>
          <w:rFonts w:ascii="Times New Roman" w:hAnsi="Times New Roman"/>
        </w:rPr>
      </w:pPr>
      <w:r>
        <w:rPr>
          <w:rFonts w:ascii="Times New Roman" w:hAnsi="Times New Roman"/>
        </w:rPr>
        <w:t>1.</w:t>
      </w:r>
      <w:r>
        <w:rPr>
          <w:rFonts w:ascii="Times New Roman" w:hAnsi="Times New Roman"/>
        </w:rPr>
        <w:tab/>
        <w:t>Why is the product collected after recrystallization washed with cold solvent rather than hot solvent?</w:t>
      </w: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ind w:left="720" w:hanging="720"/>
        <w:jc w:val="both"/>
        <w:rPr>
          <w:rFonts w:ascii="Times New Roman" w:hAnsi="Times New Roman"/>
        </w:rPr>
      </w:pPr>
      <w:r>
        <w:rPr>
          <w:rFonts w:ascii="Times New Roman" w:hAnsi="Times New Roman"/>
        </w:rPr>
        <w:t>2.</w:t>
      </w:r>
      <w:r>
        <w:rPr>
          <w:rFonts w:ascii="Times New Roman" w:hAnsi="Times New Roman"/>
        </w:rPr>
        <w:tab/>
        <w:t>Three test tubes, labeled A, B, and C, contain compounds with approximately the same melting point. Using only a melting point apparatus, how could you prove that the test tubes contain three different chemical compounds?</w:t>
      </w: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Default="00A14AA7" w:rsidP="00571D58">
      <w:pPr>
        <w:pStyle w:val="Body"/>
        <w:jc w:val="both"/>
        <w:rPr>
          <w:rFonts w:ascii="Times New Roman" w:hAnsi="Times New Roman"/>
        </w:rPr>
      </w:pPr>
    </w:p>
    <w:p w:rsidR="00A14AA7" w:rsidRPr="004D1059" w:rsidRDefault="00A14AA7" w:rsidP="00EC5B5A">
      <w:pPr>
        <w:pStyle w:val="Body"/>
        <w:ind w:left="720" w:hanging="720"/>
        <w:jc w:val="both"/>
      </w:pPr>
      <w:r>
        <w:rPr>
          <w:rFonts w:ascii="Times New Roman" w:hAnsi="Times New Roman"/>
        </w:rPr>
        <w:t>3.</w:t>
      </w:r>
      <w:r>
        <w:rPr>
          <w:rFonts w:ascii="Times New Roman" w:hAnsi="Times New Roman"/>
        </w:rPr>
        <w:tab/>
        <w:t>Table sugar (sucrose) is refined on a large scale by recrystallization.  What volume of boiling water (in mL) is required to dissolve 30 g of sucrose? If the solution were then cooled to room temperature (~20 °C), how much sucrose (in g) would recrystallize out of the solution? Show all calculations.</w:t>
      </w:r>
    </w:p>
    <w:p w:rsidR="00CC4D67" w:rsidRDefault="00CC4D67" w:rsidP="00A14AA7">
      <w:pPr>
        <w:pStyle w:val="Body"/>
        <w:tabs>
          <w:tab w:val="left" w:pos="6480"/>
          <w:tab w:val="left" w:pos="10080"/>
          <w:tab w:val="left" w:pos="10800"/>
          <w:tab w:val="left" w:pos="11520"/>
        </w:tabs>
        <w:rPr>
          <w:rFonts w:ascii="Times New Roman" w:hAnsi="Times New Roman"/>
        </w:rPr>
      </w:pPr>
    </w:p>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Pr="00CC4D67" w:rsidRDefault="00CC4D67" w:rsidP="00CC4D67"/>
    <w:p w:rsidR="00CC4D67" w:rsidRDefault="00CC4D67" w:rsidP="00CC4D67"/>
    <w:p w:rsidR="00A14AA7" w:rsidRPr="00CC4D67" w:rsidRDefault="00A14AA7" w:rsidP="00CC4D67">
      <w:pPr>
        <w:ind w:firstLine="720"/>
      </w:pPr>
    </w:p>
    <w:sectPr w:rsidR="00A14AA7" w:rsidRPr="00CC4D67" w:rsidSect="00A14AA7">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6E" w:rsidRDefault="006A506E">
      <w:r>
        <w:separator/>
      </w:r>
    </w:p>
  </w:endnote>
  <w:endnote w:type="continuationSeparator" w:id="0">
    <w:p w:rsidR="006A506E" w:rsidRDefault="006A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8" w:rsidRDefault="0004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F6" w:rsidRPr="00CC4D67" w:rsidRDefault="006B06F6" w:rsidP="006B06F6">
    <w:pPr>
      <w:pStyle w:val="Footer"/>
      <w:tabs>
        <w:tab w:val="clear" w:pos="4320"/>
        <w:tab w:val="clear" w:pos="8640"/>
        <w:tab w:val="center" w:pos="5310"/>
        <w:tab w:val="right" w:pos="10800"/>
      </w:tabs>
      <w:rPr>
        <w:sz w:val="18"/>
        <w:szCs w:val="18"/>
      </w:rPr>
    </w:pPr>
    <w:r w:rsidRPr="00CC4D67">
      <w:rPr>
        <w:sz w:val="18"/>
        <w:szCs w:val="18"/>
      </w:rPr>
      <w:t>Revised 1-2019</w:t>
    </w:r>
  </w:p>
  <w:p w:rsidR="006B06F6" w:rsidRDefault="006B0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8" w:rsidRDefault="00046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CC4D67" w:rsidRDefault="006B06F6" w:rsidP="006B06F6">
    <w:pPr>
      <w:pStyle w:val="Footer"/>
      <w:tabs>
        <w:tab w:val="clear" w:pos="4320"/>
        <w:tab w:val="clear" w:pos="8640"/>
        <w:tab w:val="center" w:pos="5310"/>
        <w:tab w:val="right" w:pos="10800"/>
      </w:tabs>
      <w:rPr>
        <w:sz w:val="18"/>
        <w:szCs w:val="18"/>
      </w:rPr>
    </w:pPr>
    <w:r w:rsidRPr="00CC4D67">
      <w:rPr>
        <w:sz w:val="18"/>
        <w:szCs w:val="18"/>
      </w:rPr>
      <w:t>Revised 1-2019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CC4D67" w:rsidRDefault="008946DD" w:rsidP="006B06F6">
    <w:pPr>
      <w:pStyle w:val="Footer"/>
      <w:tabs>
        <w:tab w:val="clear" w:pos="4320"/>
        <w:tab w:val="clear" w:pos="8640"/>
        <w:tab w:val="center" w:pos="5310"/>
        <w:tab w:val="right" w:pos="10800"/>
      </w:tabs>
      <w:rPr>
        <w:sz w:val="18"/>
        <w:szCs w:val="18"/>
      </w:rPr>
    </w:pPr>
    <w:r w:rsidRPr="00CC4D67">
      <w:rPr>
        <w:sz w:val="18"/>
        <w:szCs w:val="18"/>
      </w:rPr>
      <w:t xml:space="preserve">Revised </w:t>
    </w:r>
    <w:r w:rsidR="006B06F6" w:rsidRPr="00CC4D67">
      <w:rPr>
        <w:sz w:val="18"/>
        <w:szCs w:val="18"/>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6E" w:rsidRDefault="006A506E">
      <w:r>
        <w:separator/>
      </w:r>
    </w:p>
  </w:footnote>
  <w:footnote w:type="continuationSeparator" w:id="0">
    <w:p w:rsidR="006A506E" w:rsidRDefault="006A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8" w:rsidRDefault="00046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A7" w:rsidRPr="00277CAE" w:rsidRDefault="00A14AA7" w:rsidP="00A14AA7">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A14AA7" w:rsidRPr="00277CAE" w:rsidRDefault="00A14AA7" w:rsidP="00A14AA7">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A14AA7" w:rsidRPr="00A14AA7" w:rsidRDefault="00A14AA7" w:rsidP="00A14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8" w:rsidRDefault="00046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A7" w:rsidRPr="00A14AA7" w:rsidRDefault="00A14AA7" w:rsidP="00A14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8" w:rsidRPr="00277CAE" w:rsidRDefault="00046958" w:rsidP="00046958">
    <w:pPr>
      <w:pStyle w:val="Header"/>
      <w:tabs>
        <w:tab w:val="clear" w:pos="8640"/>
        <w:tab w:val="right" w:pos="10800"/>
      </w:tabs>
      <w:jc w:val="both"/>
      <w:rPr>
        <w:rFonts w:ascii="Times New Roman" w:hAnsi="Times New Roman"/>
        <w:b/>
        <w:sz w:val="18"/>
        <w:szCs w:val="18"/>
      </w:rPr>
    </w:pPr>
    <w:r w:rsidRPr="00277CAE">
      <w:rPr>
        <w:rFonts w:ascii="Times New Roman" w:hAnsi="Times New Roman"/>
        <w:b/>
        <w:sz w:val="18"/>
        <w:szCs w:val="18"/>
      </w:rPr>
      <w:t>Winthrop University</w:t>
    </w:r>
    <w:r w:rsidRPr="00277CAE">
      <w:rPr>
        <w:rFonts w:ascii="Times New Roman" w:hAnsi="Times New Roman"/>
        <w:b/>
        <w:sz w:val="18"/>
        <w:szCs w:val="18"/>
      </w:rPr>
      <w:tab/>
    </w:r>
    <w:r w:rsidRPr="00277CAE">
      <w:rPr>
        <w:rFonts w:ascii="Times New Roman" w:hAnsi="Times New Roman"/>
        <w:b/>
        <w:sz w:val="18"/>
        <w:szCs w:val="18"/>
      </w:rPr>
      <w:tab/>
      <w:t>Organic Chemistry Lab</w:t>
    </w:r>
  </w:p>
  <w:p w:rsidR="00046958" w:rsidRPr="00277CAE" w:rsidRDefault="00046958" w:rsidP="00046958">
    <w:pPr>
      <w:pStyle w:val="Header"/>
      <w:tabs>
        <w:tab w:val="clear" w:pos="8640"/>
        <w:tab w:val="right" w:pos="10800"/>
      </w:tabs>
      <w:rPr>
        <w:rFonts w:ascii="Times New Roman" w:hAnsi="Times New Roman"/>
      </w:rPr>
    </w:pPr>
    <w:r w:rsidRPr="00277CAE">
      <w:rPr>
        <w:rFonts w:ascii="Times New Roman" w:hAnsi="Times New Roman"/>
        <w:b/>
        <w:sz w:val="18"/>
        <w:szCs w:val="18"/>
      </w:rPr>
      <w:t>Department of Chemistry</w:t>
    </w:r>
    <w:r w:rsidRPr="00277CAE">
      <w:rPr>
        <w:rFonts w:ascii="Times New Roman" w:hAnsi="Times New Roman"/>
        <w:b/>
        <w:sz w:val="18"/>
        <w:szCs w:val="18"/>
      </w:rPr>
      <w:tab/>
    </w:r>
    <w:r w:rsidRPr="00277CAE">
      <w:rPr>
        <w:rFonts w:ascii="Times New Roman" w:hAnsi="Times New Roman"/>
        <w:b/>
        <w:sz w:val="18"/>
        <w:szCs w:val="18"/>
      </w:rPr>
      <w:tab/>
    </w:r>
    <w:r>
      <w:rPr>
        <w:rFonts w:ascii="Times New Roman" w:hAnsi="Times New Roman"/>
        <w:b/>
        <w:sz w:val="18"/>
        <w:szCs w:val="18"/>
      </w:rPr>
      <w:t>CHEM 304</w:t>
    </w:r>
  </w:p>
  <w:p w:rsidR="00775E9C" w:rsidRDefault="006A506E">
    <w:pPr>
      <w:pStyle w:val="Header"/>
      <w:rPr>
        <w:b/>
        <w:sz w:val="20"/>
      </w:rPr>
    </w:pPr>
    <w:bookmarkStart w:id="0" w:name="_GoBack"/>
    <w:bookmarkEnd w:id="0"/>
  </w:p>
  <w:p w:rsidR="00775E9C" w:rsidRPr="004D1059" w:rsidRDefault="008946DD" w:rsidP="00775E9C">
    <w:pPr>
      <w:spacing w:line="360" w:lineRule="auto"/>
      <w:jc w:val="center"/>
      <w:rPr>
        <w:u w:val="single"/>
      </w:rPr>
    </w:pPr>
    <w:r>
      <w:rPr>
        <w:u w:val="single"/>
      </w:rPr>
      <w:t xml:space="preserve">RECRYSTALLIZATION/MELTING POINT </w:t>
    </w:r>
    <w:r w:rsidRPr="004D1059">
      <w:rPr>
        <w:u w:val="single"/>
      </w:rPr>
      <w:t xml:space="preserve">EXPERIMENT </w:t>
    </w:r>
    <w:r>
      <w:rPr>
        <w:u w:val="single"/>
      </w:rPr>
      <w:t xml:space="preserve">POST-LAB </w:t>
    </w:r>
    <w:r w:rsidRPr="004D1059">
      <w:rPr>
        <w:u w:val="single"/>
      </w:rPr>
      <w:t>WORKSHEET</w:t>
    </w:r>
  </w:p>
  <w:p w:rsidR="00775E9C" w:rsidRDefault="006A506E" w:rsidP="00775E9C">
    <w:pPr>
      <w:pStyle w:val="Header"/>
      <w:jc w:val="center"/>
      <w:rPr>
        <w:b/>
        <w:sz w:val="20"/>
      </w:rPr>
    </w:pPr>
  </w:p>
  <w:p w:rsidR="00775E9C" w:rsidRDefault="006A506E">
    <w:pPr>
      <w:pStyle w:val="Header"/>
      <w:rPr>
        <w:b/>
        <w:sz w:val="20"/>
      </w:rPr>
    </w:pPr>
  </w:p>
  <w:p w:rsidR="00775E9C" w:rsidRDefault="008946DD" w:rsidP="00775E9C">
    <w:pPr>
      <w:pStyle w:val="Header"/>
    </w:pPr>
    <w:r>
      <w:t>Name:  _______________________________</w:t>
    </w:r>
    <w:r>
      <w:tab/>
      <w:t>Date:  _____________________</w:t>
    </w:r>
  </w:p>
  <w:p w:rsidR="00775E9C" w:rsidRDefault="006A506E" w:rsidP="00775E9C">
    <w:pPr>
      <w:pStyle w:val="Header"/>
    </w:pPr>
  </w:p>
  <w:p w:rsidR="00775E9C" w:rsidRDefault="008946DD" w:rsidP="00775E9C">
    <w:pPr>
      <w:pStyle w:val="Header"/>
    </w:pPr>
    <w:r>
      <w:t>Lab Instructor:  _________________________</w:t>
    </w:r>
    <w:r>
      <w:tab/>
      <w:t>Lab Section:  _______________</w:t>
    </w:r>
  </w:p>
  <w:p w:rsidR="00775E9C" w:rsidRDefault="006A506E" w:rsidP="00775E9C">
    <w:pPr>
      <w:pStyle w:val="Header"/>
    </w:pPr>
  </w:p>
  <w:p w:rsidR="00775E9C" w:rsidRDefault="006A506E" w:rsidP="0077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BB"/>
    <w:multiLevelType w:val="hybridMultilevel"/>
    <w:tmpl w:val="774AD73E"/>
    <w:lvl w:ilvl="0" w:tplc="7BF867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4B4EB6"/>
    <w:multiLevelType w:val="hybridMultilevel"/>
    <w:tmpl w:val="A7A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61EB5"/>
    <w:multiLevelType w:val="hybridMultilevel"/>
    <w:tmpl w:val="2EE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0756F"/>
    <w:multiLevelType w:val="hybridMultilevel"/>
    <w:tmpl w:val="F8D0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723DA"/>
    <w:multiLevelType w:val="hybridMultilevel"/>
    <w:tmpl w:val="B5E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F0C7F"/>
    <w:multiLevelType w:val="hybridMultilevel"/>
    <w:tmpl w:val="3D48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D1FA1"/>
    <w:multiLevelType w:val="hybridMultilevel"/>
    <w:tmpl w:val="80FC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46DFC"/>
    <w:multiLevelType w:val="hybridMultilevel"/>
    <w:tmpl w:val="D270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C272C"/>
    <w:multiLevelType w:val="hybridMultilevel"/>
    <w:tmpl w:val="D5141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17E00"/>
    <w:multiLevelType w:val="hybridMultilevel"/>
    <w:tmpl w:val="2E0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9"/>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79"/>
    <w:rsid w:val="00015A25"/>
    <w:rsid w:val="00046958"/>
    <w:rsid w:val="00061E31"/>
    <w:rsid w:val="0007348F"/>
    <w:rsid w:val="00087633"/>
    <w:rsid w:val="000A3646"/>
    <w:rsid w:val="000A36B3"/>
    <w:rsid w:val="000B4C9B"/>
    <w:rsid w:val="000D14F7"/>
    <w:rsid w:val="00152CBF"/>
    <w:rsid w:val="0016681A"/>
    <w:rsid w:val="001D2118"/>
    <w:rsid w:val="001D4679"/>
    <w:rsid w:val="001E37ED"/>
    <w:rsid w:val="001F6B95"/>
    <w:rsid w:val="001F6E01"/>
    <w:rsid w:val="0023150C"/>
    <w:rsid w:val="002543B0"/>
    <w:rsid w:val="002565BD"/>
    <w:rsid w:val="0028744A"/>
    <w:rsid w:val="002B3337"/>
    <w:rsid w:val="002C0210"/>
    <w:rsid w:val="002C4491"/>
    <w:rsid w:val="002C4B57"/>
    <w:rsid w:val="002E41AE"/>
    <w:rsid w:val="002F6D81"/>
    <w:rsid w:val="00312441"/>
    <w:rsid w:val="00321B49"/>
    <w:rsid w:val="003557BB"/>
    <w:rsid w:val="003566AD"/>
    <w:rsid w:val="003727BB"/>
    <w:rsid w:val="00374E72"/>
    <w:rsid w:val="003A2DF3"/>
    <w:rsid w:val="003A5C74"/>
    <w:rsid w:val="003C0893"/>
    <w:rsid w:val="003C558C"/>
    <w:rsid w:val="003F6427"/>
    <w:rsid w:val="003F73F7"/>
    <w:rsid w:val="00410A18"/>
    <w:rsid w:val="004442B6"/>
    <w:rsid w:val="0044670A"/>
    <w:rsid w:val="004A0BBE"/>
    <w:rsid w:val="004A5BE0"/>
    <w:rsid w:val="004B4D51"/>
    <w:rsid w:val="004D3B80"/>
    <w:rsid w:val="00525CFA"/>
    <w:rsid w:val="00537A24"/>
    <w:rsid w:val="00565386"/>
    <w:rsid w:val="00592EDC"/>
    <w:rsid w:val="005A1B06"/>
    <w:rsid w:val="005C3FA5"/>
    <w:rsid w:val="005F5DB5"/>
    <w:rsid w:val="006078A7"/>
    <w:rsid w:val="00610F7F"/>
    <w:rsid w:val="006312DE"/>
    <w:rsid w:val="006521CC"/>
    <w:rsid w:val="00687324"/>
    <w:rsid w:val="006A506E"/>
    <w:rsid w:val="006B06F6"/>
    <w:rsid w:val="006B14FC"/>
    <w:rsid w:val="006B2650"/>
    <w:rsid w:val="006C182D"/>
    <w:rsid w:val="006C4640"/>
    <w:rsid w:val="006D0C8B"/>
    <w:rsid w:val="006D27CE"/>
    <w:rsid w:val="006E2354"/>
    <w:rsid w:val="00716F2C"/>
    <w:rsid w:val="00742BBA"/>
    <w:rsid w:val="007563DF"/>
    <w:rsid w:val="0076755B"/>
    <w:rsid w:val="007772A8"/>
    <w:rsid w:val="007914A9"/>
    <w:rsid w:val="00797935"/>
    <w:rsid w:val="007D5046"/>
    <w:rsid w:val="007D5DCE"/>
    <w:rsid w:val="007E4B12"/>
    <w:rsid w:val="00804A75"/>
    <w:rsid w:val="00804B34"/>
    <w:rsid w:val="0082182B"/>
    <w:rsid w:val="00825855"/>
    <w:rsid w:val="00844890"/>
    <w:rsid w:val="00857C2E"/>
    <w:rsid w:val="008946DD"/>
    <w:rsid w:val="008958EC"/>
    <w:rsid w:val="008B03F5"/>
    <w:rsid w:val="008B347F"/>
    <w:rsid w:val="008C717D"/>
    <w:rsid w:val="008D5A2A"/>
    <w:rsid w:val="00902D91"/>
    <w:rsid w:val="0091782D"/>
    <w:rsid w:val="009201DC"/>
    <w:rsid w:val="00974D35"/>
    <w:rsid w:val="00976F27"/>
    <w:rsid w:val="009A059E"/>
    <w:rsid w:val="009F4D46"/>
    <w:rsid w:val="00A10549"/>
    <w:rsid w:val="00A14AA7"/>
    <w:rsid w:val="00A62BD3"/>
    <w:rsid w:val="00A6484B"/>
    <w:rsid w:val="00A95EF5"/>
    <w:rsid w:val="00AB378A"/>
    <w:rsid w:val="00AC5791"/>
    <w:rsid w:val="00AD6DBE"/>
    <w:rsid w:val="00B0792C"/>
    <w:rsid w:val="00B23BE4"/>
    <w:rsid w:val="00B368CE"/>
    <w:rsid w:val="00B50F22"/>
    <w:rsid w:val="00B53A1C"/>
    <w:rsid w:val="00B6663A"/>
    <w:rsid w:val="00B849AF"/>
    <w:rsid w:val="00BA32A8"/>
    <w:rsid w:val="00BC034C"/>
    <w:rsid w:val="00BE4FB0"/>
    <w:rsid w:val="00C160E3"/>
    <w:rsid w:val="00C20518"/>
    <w:rsid w:val="00C21ACE"/>
    <w:rsid w:val="00C305A6"/>
    <w:rsid w:val="00C3572C"/>
    <w:rsid w:val="00C62635"/>
    <w:rsid w:val="00C6451B"/>
    <w:rsid w:val="00C82223"/>
    <w:rsid w:val="00CA5549"/>
    <w:rsid w:val="00CB55AA"/>
    <w:rsid w:val="00CB6B6E"/>
    <w:rsid w:val="00CC4D67"/>
    <w:rsid w:val="00CD4397"/>
    <w:rsid w:val="00D11F24"/>
    <w:rsid w:val="00D9750D"/>
    <w:rsid w:val="00DA6FB5"/>
    <w:rsid w:val="00DC4E9B"/>
    <w:rsid w:val="00E1076E"/>
    <w:rsid w:val="00E15627"/>
    <w:rsid w:val="00E56869"/>
    <w:rsid w:val="00E632EC"/>
    <w:rsid w:val="00E65251"/>
    <w:rsid w:val="00E84E5B"/>
    <w:rsid w:val="00EA4196"/>
    <w:rsid w:val="00EE3BCB"/>
    <w:rsid w:val="00EE5ECF"/>
    <w:rsid w:val="00F10385"/>
    <w:rsid w:val="00F21D4C"/>
    <w:rsid w:val="00F33450"/>
    <w:rsid w:val="00F41D29"/>
    <w:rsid w:val="00F5497B"/>
    <w:rsid w:val="00F8365E"/>
    <w:rsid w:val="00F973EA"/>
    <w:rsid w:val="00FA0539"/>
    <w:rsid w:val="00FA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D590AC-F818-4CBA-AA5D-8BBB966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F6"/>
    <w:rPr>
      <w:sz w:val="24"/>
    </w:rPr>
  </w:style>
  <w:style w:type="paragraph" w:styleId="Heading1">
    <w:name w:val="heading 1"/>
    <w:basedOn w:val="Normal"/>
    <w:next w:val="Normal"/>
    <w:qFormat/>
    <w:pPr>
      <w:keepNext/>
      <w:spacing w:before="240"/>
      <w:ind w:firstLine="720"/>
      <w:outlineLvl w:val="0"/>
    </w:pPr>
    <w:rPr>
      <w:b/>
    </w:rPr>
  </w:style>
  <w:style w:type="paragraph" w:styleId="Heading2">
    <w:name w:val="heading 2"/>
    <w:basedOn w:val="Normal"/>
    <w:next w:val="Normal"/>
    <w:qFormat/>
    <w:pPr>
      <w:keepNext/>
      <w:spacing w:before="240"/>
      <w:ind w:firstLine="720"/>
      <w:outlineLvl w:val="1"/>
    </w:pPr>
    <w:rPr>
      <w:i/>
    </w:rPr>
  </w:style>
  <w:style w:type="paragraph" w:styleId="Heading3">
    <w:name w:val="heading 3"/>
    <w:basedOn w:val="Normal"/>
    <w:next w:val="Normal"/>
    <w:qFormat/>
    <w:pPr>
      <w:keepNext/>
      <w:spacing w:before="240"/>
      <w:ind w:firstLine="720"/>
      <w:jc w:val="both"/>
      <w:outlineLvl w:val="2"/>
    </w:pPr>
    <w:rPr>
      <w:b/>
      <w:sz w:val="22"/>
    </w:rPr>
  </w:style>
  <w:style w:type="paragraph" w:styleId="Heading4">
    <w:name w:val="heading 4"/>
    <w:basedOn w:val="Normal"/>
    <w:next w:val="Normal"/>
    <w:qFormat/>
    <w:pPr>
      <w:keepNext/>
      <w:spacing w:before="240"/>
      <w:jc w:val="both"/>
      <w:outlineLvl w:val="3"/>
    </w:pPr>
    <w:rPr>
      <w:b/>
      <w:sz w:val="22"/>
    </w:rPr>
  </w:style>
  <w:style w:type="paragraph" w:styleId="Heading5">
    <w:name w:val="heading 5"/>
    <w:basedOn w:val="Normal"/>
    <w:next w:val="Normal"/>
    <w:qFormat/>
    <w:pPr>
      <w:keepNext/>
      <w:jc w:val="both"/>
      <w:outlineLvl w:val="4"/>
    </w:pPr>
    <w:rPr>
      <w:i/>
      <w:sz w:val="22"/>
    </w:rPr>
  </w:style>
  <w:style w:type="paragraph" w:styleId="Heading6">
    <w:name w:val="heading 6"/>
    <w:basedOn w:val="Normal"/>
    <w:next w:val="Normal"/>
    <w:qFormat/>
    <w:pPr>
      <w:keepNext/>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firstLine="720"/>
    </w:pPr>
  </w:style>
  <w:style w:type="paragraph" w:styleId="BodyTextIndent2">
    <w:name w:val="Body Text Indent 2"/>
    <w:basedOn w:val="Normal"/>
    <w:pPr>
      <w:spacing w:before="240"/>
      <w:ind w:firstLine="720"/>
      <w:jc w:val="both"/>
    </w:pPr>
    <w:rPr>
      <w:sz w:val="22"/>
    </w:rPr>
  </w:style>
  <w:style w:type="paragraph" w:customStyle="1" w:styleId="Body">
    <w:name w:val="Body"/>
    <w:basedOn w:val="Normal"/>
    <w:pPr>
      <w:spacing w:line="240" w:lineRule="atLeast"/>
    </w:pPr>
    <w:rPr>
      <w:rFonts w:ascii="Helvetica" w:eastAsia="Times New Roman" w:hAnsi="Helvetica"/>
      <w:color w:val="000000"/>
    </w:rPr>
  </w:style>
  <w:style w:type="paragraph" w:styleId="BalloonText">
    <w:name w:val="Balloon Text"/>
    <w:basedOn w:val="Normal"/>
    <w:semiHidden/>
    <w:rsid w:val="00F973EA"/>
    <w:rPr>
      <w:rFonts w:ascii="Tahoma" w:hAnsi="Tahoma" w:cs="Tahoma"/>
      <w:sz w:val="16"/>
      <w:szCs w:val="16"/>
    </w:rPr>
  </w:style>
  <w:style w:type="paragraph" w:styleId="Header">
    <w:name w:val="header"/>
    <w:basedOn w:val="Normal"/>
    <w:link w:val="HeaderChar"/>
    <w:rsid w:val="00857C2E"/>
    <w:pPr>
      <w:tabs>
        <w:tab w:val="center" w:pos="4320"/>
        <w:tab w:val="right" w:pos="8640"/>
      </w:tabs>
    </w:pPr>
  </w:style>
  <w:style w:type="paragraph" w:styleId="Footer">
    <w:name w:val="footer"/>
    <w:basedOn w:val="Normal"/>
    <w:link w:val="FooterChar"/>
    <w:uiPriority w:val="99"/>
    <w:rsid w:val="00857C2E"/>
    <w:pPr>
      <w:tabs>
        <w:tab w:val="center" w:pos="4320"/>
        <w:tab w:val="right" w:pos="8640"/>
      </w:tabs>
    </w:pPr>
  </w:style>
  <w:style w:type="character" w:styleId="CommentReference">
    <w:name w:val="annotation reference"/>
    <w:rsid w:val="00F5497B"/>
    <w:rPr>
      <w:sz w:val="16"/>
      <w:szCs w:val="16"/>
    </w:rPr>
  </w:style>
  <w:style w:type="paragraph" w:styleId="CommentText">
    <w:name w:val="annotation text"/>
    <w:basedOn w:val="Normal"/>
    <w:link w:val="CommentTextChar"/>
    <w:rsid w:val="00F5497B"/>
    <w:rPr>
      <w:sz w:val="20"/>
    </w:rPr>
  </w:style>
  <w:style w:type="character" w:customStyle="1" w:styleId="CommentTextChar">
    <w:name w:val="Comment Text Char"/>
    <w:basedOn w:val="DefaultParagraphFont"/>
    <w:link w:val="CommentText"/>
    <w:rsid w:val="00F5497B"/>
  </w:style>
  <w:style w:type="paragraph" w:styleId="CommentSubject">
    <w:name w:val="annotation subject"/>
    <w:basedOn w:val="CommentText"/>
    <w:next w:val="CommentText"/>
    <w:link w:val="CommentSubjectChar"/>
    <w:rsid w:val="00F5497B"/>
    <w:rPr>
      <w:b/>
      <w:bCs/>
    </w:rPr>
  </w:style>
  <w:style w:type="character" w:customStyle="1" w:styleId="CommentSubjectChar">
    <w:name w:val="Comment Subject Char"/>
    <w:link w:val="CommentSubject"/>
    <w:rsid w:val="00F5497B"/>
    <w:rPr>
      <w:b/>
      <w:bCs/>
    </w:rPr>
  </w:style>
  <w:style w:type="table" w:styleId="TableGrid">
    <w:name w:val="Table Grid"/>
    <w:basedOn w:val="TableNormal"/>
    <w:rsid w:val="00C1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14AA7"/>
    <w:rPr>
      <w:sz w:val="24"/>
    </w:rPr>
  </w:style>
  <w:style w:type="character" w:customStyle="1" w:styleId="HeaderChar">
    <w:name w:val="Header Char"/>
    <w:link w:val="Header"/>
    <w:rsid w:val="00A14A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Transfer Hydrogenation of Olive Oil</vt:lpstr>
    </vt:vector>
  </TitlesOfParts>
  <Company>University of Georgia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Hydrogenation of Olive Oil</dc:title>
  <dc:creator>Henrika Marcinkenaite</dc:creator>
  <cp:lastModifiedBy>Hanna, James M.</cp:lastModifiedBy>
  <cp:revision>5</cp:revision>
  <cp:lastPrinted>2016-01-07T19:15:00Z</cp:lastPrinted>
  <dcterms:created xsi:type="dcterms:W3CDTF">2019-01-03T16:32:00Z</dcterms:created>
  <dcterms:modified xsi:type="dcterms:W3CDTF">2019-01-03T16:47:00Z</dcterms:modified>
</cp:coreProperties>
</file>