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6A64" w:rsidRPr="0052162B" w:rsidRDefault="00F96A64" w:rsidP="00F96A64">
      <w:pPr>
        <w:pBdr>
          <w:bottom w:val="single" w:sz="12" w:space="1" w:color="auto"/>
        </w:pBdr>
      </w:pPr>
    </w:p>
    <w:tbl>
      <w:tblPr>
        <w:tblStyle w:val="TableGrid"/>
        <w:tblpPr w:leftFromText="180" w:rightFromText="180" w:vertAnchor="page" w:horzAnchor="margin" w:tblpXSpec="center" w:tblpY="2581"/>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2610"/>
        <w:gridCol w:w="2700"/>
        <w:gridCol w:w="2430"/>
      </w:tblGrid>
      <w:tr w:rsidR="00F96A64" w:rsidTr="002F1997">
        <w:trPr>
          <w:trHeight w:val="360"/>
        </w:trPr>
        <w:tc>
          <w:tcPr>
            <w:tcW w:w="1440" w:type="dxa"/>
          </w:tcPr>
          <w:p w:rsidR="00F96A64" w:rsidRDefault="00F96A64" w:rsidP="00F96A64">
            <w:pPr>
              <w:tabs>
                <w:tab w:val="left" w:pos="1530"/>
              </w:tabs>
              <w:rPr>
                <w:sz w:val="20"/>
                <w:szCs w:val="20"/>
              </w:rPr>
            </w:pPr>
            <w:r>
              <w:rPr>
                <w:b/>
                <w:sz w:val="20"/>
                <w:szCs w:val="20"/>
              </w:rPr>
              <w:t>Instructor:</w:t>
            </w:r>
          </w:p>
        </w:tc>
        <w:tc>
          <w:tcPr>
            <w:tcW w:w="2610" w:type="dxa"/>
          </w:tcPr>
          <w:p w:rsidR="00F96A64" w:rsidRDefault="00F96A64" w:rsidP="0035194D">
            <w:pPr>
              <w:tabs>
                <w:tab w:val="left" w:pos="1530"/>
              </w:tabs>
              <w:rPr>
                <w:sz w:val="20"/>
                <w:szCs w:val="20"/>
              </w:rPr>
            </w:pPr>
            <w:r>
              <w:rPr>
                <w:sz w:val="20"/>
                <w:szCs w:val="20"/>
              </w:rPr>
              <w:t xml:space="preserve">Dr. </w:t>
            </w:r>
            <w:r w:rsidR="0035194D">
              <w:rPr>
                <w:sz w:val="20"/>
                <w:szCs w:val="20"/>
              </w:rPr>
              <w:t>Christian Grattan</w:t>
            </w:r>
          </w:p>
        </w:tc>
        <w:tc>
          <w:tcPr>
            <w:tcW w:w="2700" w:type="dxa"/>
          </w:tcPr>
          <w:p w:rsidR="00F96A64" w:rsidRDefault="00F96A64" w:rsidP="00F96A64">
            <w:pPr>
              <w:tabs>
                <w:tab w:val="left" w:pos="1530"/>
              </w:tabs>
              <w:rPr>
                <w:sz w:val="20"/>
                <w:szCs w:val="20"/>
              </w:rPr>
            </w:pPr>
            <w:r w:rsidRPr="00F345EB">
              <w:rPr>
                <w:sz w:val="20"/>
                <w:szCs w:val="20"/>
              </w:rPr>
              <w:t xml:space="preserve">Dr. Aaron M. </w:t>
            </w:r>
            <w:proofErr w:type="spellStart"/>
            <w:r w:rsidRPr="00F345EB">
              <w:rPr>
                <w:sz w:val="20"/>
                <w:szCs w:val="20"/>
              </w:rPr>
              <w:t>Hartel</w:t>
            </w:r>
            <w:proofErr w:type="spellEnd"/>
          </w:p>
        </w:tc>
        <w:tc>
          <w:tcPr>
            <w:tcW w:w="2430" w:type="dxa"/>
          </w:tcPr>
          <w:p w:rsidR="00F96A64" w:rsidRDefault="00F96A64" w:rsidP="00F96A64">
            <w:pPr>
              <w:tabs>
                <w:tab w:val="left" w:pos="1530"/>
              </w:tabs>
              <w:rPr>
                <w:sz w:val="20"/>
                <w:szCs w:val="20"/>
              </w:rPr>
            </w:pPr>
            <w:r>
              <w:rPr>
                <w:sz w:val="20"/>
                <w:szCs w:val="20"/>
              </w:rPr>
              <w:t>Dr. Athena Detrick</w:t>
            </w:r>
          </w:p>
        </w:tc>
      </w:tr>
      <w:tr w:rsidR="00F96A64" w:rsidTr="002F1997">
        <w:trPr>
          <w:trHeight w:val="260"/>
        </w:trPr>
        <w:tc>
          <w:tcPr>
            <w:tcW w:w="1440" w:type="dxa"/>
          </w:tcPr>
          <w:p w:rsidR="00F96A64" w:rsidRDefault="00F96A64" w:rsidP="00F96A64">
            <w:pPr>
              <w:tabs>
                <w:tab w:val="left" w:pos="1530"/>
              </w:tabs>
              <w:rPr>
                <w:sz w:val="20"/>
                <w:szCs w:val="20"/>
              </w:rPr>
            </w:pPr>
            <w:r w:rsidRPr="00F345EB">
              <w:rPr>
                <w:b/>
                <w:sz w:val="20"/>
                <w:szCs w:val="20"/>
              </w:rPr>
              <w:t>Office:</w:t>
            </w:r>
          </w:p>
        </w:tc>
        <w:tc>
          <w:tcPr>
            <w:tcW w:w="2610" w:type="dxa"/>
          </w:tcPr>
          <w:p w:rsidR="00F96A64" w:rsidRDefault="00F96A64" w:rsidP="0035194D">
            <w:pPr>
              <w:tabs>
                <w:tab w:val="left" w:pos="1530"/>
              </w:tabs>
              <w:rPr>
                <w:sz w:val="20"/>
                <w:szCs w:val="20"/>
              </w:rPr>
            </w:pPr>
            <w:r w:rsidRPr="00F345EB">
              <w:rPr>
                <w:sz w:val="20"/>
                <w:szCs w:val="20"/>
              </w:rPr>
              <w:t>Sims 3</w:t>
            </w:r>
            <w:r w:rsidR="0035194D">
              <w:rPr>
                <w:sz w:val="20"/>
                <w:szCs w:val="20"/>
              </w:rPr>
              <w:t>01</w:t>
            </w:r>
            <w:r w:rsidRPr="00F345EB">
              <w:rPr>
                <w:sz w:val="20"/>
                <w:szCs w:val="20"/>
              </w:rPr>
              <w:t>B</w:t>
            </w:r>
          </w:p>
        </w:tc>
        <w:tc>
          <w:tcPr>
            <w:tcW w:w="2700" w:type="dxa"/>
          </w:tcPr>
          <w:p w:rsidR="00F96A64" w:rsidRDefault="00F96A64" w:rsidP="00F96A64">
            <w:pPr>
              <w:tabs>
                <w:tab w:val="left" w:pos="1530"/>
              </w:tabs>
              <w:rPr>
                <w:sz w:val="20"/>
                <w:szCs w:val="20"/>
              </w:rPr>
            </w:pPr>
            <w:r w:rsidRPr="00F345EB">
              <w:rPr>
                <w:sz w:val="20"/>
                <w:szCs w:val="20"/>
              </w:rPr>
              <w:t>Sims 314B</w:t>
            </w:r>
          </w:p>
        </w:tc>
        <w:tc>
          <w:tcPr>
            <w:tcW w:w="2430" w:type="dxa"/>
          </w:tcPr>
          <w:p w:rsidR="00F96A64" w:rsidRDefault="00F96A64" w:rsidP="00F96A64">
            <w:pPr>
              <w:tabs>
                <w:tab w:val="left" w:pos="1530"/>
              </w:tabs>
              <w:rPr>
                <w:sz w:val="20"/>
                <w:szCs w:val="20"/>
              </w:rPr>
            </w:pPr>
            <w:r>
              <w:rPr>
                <w:sz w:val="20"/>
                <w:szCs w:val="20"/>
              </w:rPr>
              <w:t>Sims 301B</w:t>
            </w:r>
          </w:p>
        </w:tc>
      </w:tr>
      <w:tr w:rsidR="00F96A64" w:rsidTr="002F1997">
        <w:trPr>
          <w:trHeight w:val="260"/>
        </w:trPr>
        <w:tc>
          <w:tcPr>
            <w:tcW w:w="1440" w:type="dxa"/>
          </w:tcPr>
          <w:p w:rsidR="00F96A64" w:rsidRDefault="00F96A64" w:rsidP="00F96A64">
            <w:pPr>
              <w:tabs>
                <w:tab w:val="left" w:pos="1530"/>
              </w:tabs>
              <w:rPr>
                <w:sz w:val="20"/>
                <w:szCs w:val="20"/>
              </w:rPr>
            </w:pPr>
            <w:r w:rsidRPr="00F345EB">
              <w:rPr>
                <w:b/>
                <w:sz w:val="20"/>
                <w:szCs w:val="20"/>
              </w:rPr>
              <w:t>Email:</w:t>
            </w:r>
          </w:p>
        </w:tc>
        <w:tc>
          <w:tcPr>
            <w:tcW w:w="2610" w:type="dxa"/>
          </w:tcPr>
          <w:p w:rsidR="00F96A64" w:rsidRPr="006B63F5" w:rsidRDefault="00C143D0" w:rsidP="00F96A64">
            <w:pPr>
              <w:tabs>
                <w:tab w:val="left" w:pos="1530"/>
              </w:tabs>
              <w:rPr>
                <w:sz w:val="20"/>
                <w:szCs w:val="20"/>
              </w:rPr>
            </w:pPr>
            <w:hyperlink r:id="rId7" w:history="1">
              <w:r w:rsidR="00F32518" w:rsidRPr="006B63F5">
                <w:rPr>
                  <w:rStyle w:val="Hyperlink"/>
                  <w:sz w:val="20"/>
                  <w:szCs w:val="20"/>
                </w:rPr>
                <w:t>grattanc@wint</w:t>
              </w:r>
              <w:r w:rsidR="00F32518" w:rsidRPr="006B63F5">
                <w:rPr>
                  <w:rStyle w:val="Hyperlink"/>
                  <w:sz w:val="20"/>
                  <w:szCs w:val="20"/>
                </w:rPr>
                <w:t>h</w:t>
              </w:r>
              <w:r w:rsidR="00F32518" w:rsidRPr="006B63F5">
                <w:rPr>
                  <w:rStyle w:val="Hyperlink"/>
                  <w:sz w:val="20"/>
                  <w:szCs w:val="20"/>
                </w:rPr>
                <w:t>rop.edu</w:t>
              </w:r>
            </w:hyperlink>
          </w:p>
        </w:tc>
        <w:tc>
          <w:tcPr>
            <w:tcW w:w="2700" w:type="dxa"/>
          </w:tcPr>
          <w:p w:rsidR="00F96A64" w:rsidRPr="006B63F5" w:rsidRDefault="00C143D0" w:rsidP="00F96A64">
            <w:pPr>
              <w:tabs>
                <w:tab w:val="left" w:pos="1530"/>
              </w:tabs>
              <w:rPr>
                <w:sz w:val="20"/>
                <w:szCs w:val="20"/>
              </w:rPr>
            </w:pPr>
            <w:hyperlink r:id="rId8" w:history="1">
              <w:r w:rsidR="00F96A64" w:rsidRPr="006B63F5">
                <w:rPr>
                  <w:rStyle w:val="Hyperlink"/>
                  <w:sz w:val="20"/>
                  <w:szCs w:val="20"/>
                </w:rPr>
                <w:t>hartela@winthrop.edu</w:t>
              </w:r>
            </w:hyperlink>
          </w:p>
        </w:tc>
        <w:tc>
          <w:tcPr>
            <w:tcW w:w="2430" w:type="dxa"/>
          </w:tcPr>
          <w:p w:rsidR="00F96A64" w:rsidRPr="006B63F5" w:rsidRDefault="00C143D0" w:rsidP="00F96A64">
            <w:pPr>
              <w:tabs>
                <w:tab w:val="left" w:pos="1530"/>
              </w:tabs>
              <w:rPr>
                <w:sz w:val="20"/>
                <w:szCs w:val="20"/>
              </w:rPr>
            </w:pPr>
            <w:hyperlink r:id="rId9" w:history="1">
              <w:r w:rsidR="00F96A64" w:rsidRPr="006B63F5">
                <w:rPr>
                  <w:rStyle w:val="Hyperlink"/>
                  <w:sz w:val="20"/>
                  <w:szCs w:val="20"/>
                </w:rPr>
                <w:t>detricka@winthrop.edu</w:t>
              </w:r>
            </w:hyperlink>
          </w:p>
        </w:tc>
      </w:tr>
      <w:tr w:rsidR="00F96A64" w:rsidTr="002F1997">
        <w:trPr>
          <w:trHeight w:val="260"/>
        </w:trPr>
        <w:tc>
          <w:tcPr>
            <w:tcW w:w="1440" w:type="dxa"/>
          </w:tcPr>
          <w:p w:rsidR="00F96A64" w:rsidRDefault="00F96A64" w:rsidP="00F96A64">
            <w:pPr>
              <w:tabs>
                <w:tab w:val="left" w:pos="1530"/>
              </w:tabs>
              <w:rPr>
                <w:sz w:val="20"/>
                <w:szCs w:val="20"/>
              </w:rPr>
            </w:pPr>
            <w:r>
              <w:rPr>
                <w:b/>
                <w:sz w:val="20"/>
                <w:szCs w:val="20"/>
              </w:rPr>
              <w:t>Office Phone:</w:t>
            </w:r>
          </w:p>
        </w:tc>
        <w:tc>
          <w:tcPr>
            <w:tcW w:w="2610" w:type="dxa"/>
          </w:tcPr>
          <w:p w:rsidR="00F96A64" w:rsidRDefault="00F96A64" w:rsidP="0035194D">
            <w:pPr>
              <w:tabs>
                <w:tab w:val="left" w:pos="1530"/>
              </w:tabs>
              <w:rPr>
                <w:sz w:val="20"/>
                <w:szCs w:val="20"/>
              </w:rPr>
            </w:pPr>
            <w:r>
              <w:rPr>
                <w:sz w:val="20"/>
                <w:szCs w:val="20"/>
              </w:rPr>
              <w:t>323-49</w:t>
            </w:r>
            <w:r w:rsidR="0035194D">
              <w:rPr>
                <w:sz w:val="20"/>
                <w:szCs w:val="20"/>
              </w:rPr>
              <w:t>27</w:t>
            </w:r>
          </w:p>
        </w:tc>
        <w:tc>
          <w:tcPr>
            <w:tcW w:w="2700" w:type="dxa"/>
          </w:tcPr>
          <w:p w:rsidR="00F96A64" w:rsidRDefault="00F96A64" w:rsidP="00F96A64">
            <w:pPr>
              <w:tabs>
                <w:tab w:val="left" w:pos="1530"/>
              </w:tabs>
              <w:rPr>
                <w:sz w:val="20"/>
                <w:szCs w:val="20"/>
              </w:rPr>
            </w:pPr>
            <w:r w:rsidRPr="00F345EB">
              <w:rPr>
                <w:sz w:val="20"/>
                <w:szCs w:val="20"/>
              </w:rPr>
              <w:t>323-4942</w:t>
            </w:r>
          </w:p>
        </w:tc>
        <w:tc>
          <w:tcPr>
            <w:tcW w:w="2430" w:type="dxa"/>
          </w:tcPr>
          <w:p w:rsidR="00F96A64" w:rsidRDefault="00F96A64" w:rsidP="00F96A64">
            <w:pPr>
              <w:tabs>
                <w:tab w:val="left" w:pos="1530"/>
              </w:tabs>
              <w:rPr>
                <w:sz w:val="20"/>
                <w:szCs w:val="20"/>
              </w:rPr>
            </w:pPr>
            <w:r>
              <w:rPr>
                <w:sz w:val="20"/>
                <w:szCs w:val="20"/>
              </w:rPr>
              <w:t>323-4931</w:t>
            </w:r>
          </w:p>
        </w:tc>
      </w:tr>
      <w:tr w:rsidR="00F96A64" w:rsidTr="002F1997">
        <w:tc>
          <w:tcPr>
            <w:tcW w:w="1440" w:type="dxa"/>
          </w:tcPr>
          <w:p w:rsidR="00F96A64" w:rsidRDefault="00F96A64" w:rsidP="00F96A64">
            <w:pPr>
              <w:tabs>
                <w:tab w:val="left" w:pos="1530"/>
              </w:tabs>
              <w:rPr>
                <w:sz w:val="20"/>
                <w:szCs w:val="20"/>
              </w:rPr>
            </w:pPr>
            <w:r w:rsidRPr="00555F9D">
              <w:rPr>
                <w:b/>
                <w:sz w:val="20"/>
                <w:szCs w:val="20"/>
              </w:rPr>
              <w:t>Office Hours:</w:t>
            </w:r>
          </w:p>
        </w:tc>
        <w:tc>
          <w:tcPr>
            <w:tcW w:w="2610" w:type="dxa"/>
          </w:tcPr>
          <w:p w:rsidR="00F96A64" w:rsidRDefault="00EF108A" w:rsidP="00EF108A">
            <w:pPr>
              <w:tabs>
                <w:tab w:val="left" w:pos="1530"/>
              </w:tabs>
              <w:rPr>
                <w:sz w:val="20"/>
              </w:rPr>
            </w:pPr>
            <w:r w:rsidRPr="00710A85">
              <w:rPr>
                <w:sz w:val="20"/>
              </w:rPr>
              <w:t>MW 1</w:t>
            </w:r>
            <w:r>
              <w:rPr>
                <w:sz w:val="20"/>
              </w:rPr>
              <w:t>1</w:t>
            </w:r>
            <w:r w:rsidRPr="00710A85">
              <w:rPr>
                <w:sz w:val="20"/>
              </w:rPr>
              <w:t>:00</w:t>
            </w:r>
            <w:r>
              <w:rPr>
                <w:sz w:val="20"/>
              </w:rPr>
              <w:t xml:space="preserve"> a.m. </w:t>
            </w:r>
            <w:r w:rsidR="00F6394E">
              <w:rPr>
                <w:sz w:val="20"/>
                <w:szCs w:val="20"/>
              </w:rPr>
              <w:t>–</w:t>
            </w:r>
            <w:r>
              <w:rPr>
                <w:sz w:val="20"/>
              </w:rPr>
              <w:t xml:space="preserve"> </w:t>
            </w:r>
            <w:r w:rsidRPr="00710A85">
              <w:rPr>
                <w:sz w:val="20"/>
              </w:rPr>
              <w:t>1</w:t>
            </w:r>
            <w:r>
              <w:rPr>
                <w:sz w:val="20"/>
              </w:rPr>
              <w:t>2</w:t>
            </w:r>
            <w:r w:rsidRPr="00710A85">
              <w:rPr>
                <w:sz w:val="20"/>
              </w:rPr>
              <w:t>:00</w:t>
            </w:r>
            <w:r>
              <w:rPr>
                <w:sz w:val="20"/>
              </w:rPr>
              <w:t xml:space="preserve"> noon</w:t>
            </w:r>
          </w:p>
          <w:p w:rsidR="00F6394E" w:rsidRDefault="00F6394E" w:rsidP="00EF108A">
            <w:pPr>
              <w:tabs>
                <w:tab w:val="left" w:pos="1530"/>
              </w:tabs>
              <w:rPr>
                <w:sz w:val="20"/>
                <w:szCs w:val="20"/>
              </w:rPr>
            </w:pPr>
            <w:r>
              <w:rPr>
                <w:sz w:val="20"/>
                <w:szCs w:val="20"/>
              </w:rPr>
              <w:t>T 10:00 a.m. – 11:00 a.m.</w:t>
            </w:r>
          </w:p>
        </w:tc>
        <w:tc>
          <w:tcPr>
            <w:tcW w:w="2700" w:type="dxa"/>
          </w:tcPr>
          <w:p w:rsidR="00F96A64" w:rsidRPr="00710A85" w:rsidRDefault="00F96A64" w:rsidP="00517460">
            <w:pPr>
              <w:tabs>
                <w:tab w:val="left" w:pos="1530"/>
              </w:tabs>
              <w:rPr>
                <w:sz w:val="20"/>
                <w:szCs w:val="20"/>
              </w:rPr>
            </w:pPr>
            <w:r w:rsidRPr="00710A85">
              <w:rPr>
                <w:sz w:val="20"/>
              </w:rPr>
              <w:t>MW 1</w:t>
            </w:r>
            <w:r w:rsidR="00517460">
              <w:rPr>
                <w:sz w:val="20"/>
              </w:rPr>
              <w:t>1</w:t>
            </w:r>
            <w:r w:rsidRPr="00710A85">
              <w:rPr>
                <w:sz w:val="20"/>
              </w:rPr>
              <w:t>:00</w:t>
            </w:r>
            <w:r w:rsidR="00ED00C6">
              <w:rPr>
                <w:sz w:val="20"/>
              </w:rPr>
              <w:t xml:space="preserve"> </w:t>
            </w:r>
            <w:r w:rsidR="002F1997">
              <w:rPr>
                <w:sz w:val="20"/>
              </w:rPr>
              <w:t xml:space="preserve">a.m. </w:t>
            </w:r>
            <w:r w:rsidR="00F6394E">
              <w:rPr>
                <w:sz w:val="20"/>
                <w:szCs w:val="20"/>
              </w:rPr>
              <w:t>–</w:t>
            </w:r>
            <w:r w:rsidR="00ED00C6">
              <w:rPr>
                <w:sz w:val="20"/>
              </w:rPr>
              <w:t xml:space="preserve"> </w:t>
            </w:r>
            <w:r w:rsidRPr="00710A85">
              <w:rPr>
                <w:sz w:val="20"/>
              </w:rPr>
              <w:t>1</w:t>
            </w:r>
            <w:r w:rsidR="00517460">
              <w:rPr>
                <w:sz w:val="20"/>
              </w:rPr>
              <w:t>2</w:t>
            </w:r>
            <w:r w:rsidRPr="00710A85">
              <w:rPr>
                <w:sz w:val="20"/>
              </w:rPr>
              <w:t>:00</w:t>
            </w:r>
            <w:r>
              <w:rPr>
                <w:sz w:val="20"/>
              </w:rPr>
              <w:t xml:space="preserve"> </w:t>
            </w:r>
            <w:r w:rsidR="00517460">
              <w:rPr>
                <w:sz w:val="20"/>
              </w:rPr>
              <w:t>noon</w:t>
            </w:r>
          </w:p>
        </w:tc>
        <w:tc>
          <w:tcPr>
            <w:tcW w:w="2430" w:type="dxa"/>
          </w:tcPr>
          <w:p w:rsidR="00F96A64" w:rsidRDefault="00EF108A" w:rsidP="00F96A64">
            <w:pPr>
              <w:tabs>
                <w:tab w:val="left" w:pos="1530"/>
              </w:tabs>
              <w:rPr>
                <w:sz w:val="20"/>
                <w:szCs w:val="20"/>
              </w:rPr>
            </w:pPr>
            <w:r>
              <w:rPr>
                <w:sz w:val="20"/>
              </w:rPr>
              <w:t>TR</w:t>
            </w:r>
            <w:r w:rsidRPr="00710A85">
              <w:rPr>
                <w:sz w:val="20"/>
              </w:rPr>
              <w:t xml:space="preserve"> 1</w:t>
            </w:r>
            <w:r w:rsidR="00F6394E">
              <w:rPr>
                <w:sz w:val="20"/>
              </w:rPr>
              <w:t>0</w:t>
            </w:r>
            <w:r w:rsidRPr="00710A85">
              <w:rPr>
                <w:sz w:val="20"/>
              </w:rPr>
              <w:t>:00</w:t>
            </w:r>
            <w:r>
              <w:rPr>
                <w:sz w:val="20"/>
              </w:rPr>
              <w:t xml:space="preserve"> a.m. </w:t>
            </w:r>
            <w:r w:rsidR="00F6394E">
              <w:rPr>
                <w:sz w:val="20"/>
                <w:szCs w:val="20"/>
              </w:rPr>
              <w:t>–</w:t>
            </w:r>
            <w:r>
              <w:rPr>
                <w:sz w:val="20"/>
              </w:rPr>
              <w:t xml:space="preserve"> </w:t>
            </w:r>
            <w:r w:rsidRPr="00710A85">
              <w:rPr>
                <w:sz w:val="20"/>
              </w:rPr>
              <w:t>1</w:t>
            </w:r>
            <w:r w:rsidR="00F6394E">
              <w:rPr>
                <w:sz w:val="20"/>
              </w:rPr>
              <w:t>1</w:t>
            </w:r>
            <w:r w:rsidRPr="00710A85">
              <w:rPr>
                <w:sz w:val="20"/>
              </w:rPr>
              <w:t>:00</w:t>
            </w:r>
            <w:r>
              <w:rPr>
                <w:sz w:val="20"/>
              </w:rPr>
              <w:t xml:space="preserve"> </w:t>
            </w:r>
            <w:r w:rsidR="00F6394E">
              <w:rPr>
                <w:sz w:val="20"/>
              </w:rPr>
              <w:t>a.m.</w:t>
            </w:r>
          </w:p>
        </w:tc>
      </w:tr>
    </w:tbl>
    <w:p w:rsidR="00366FA9" w:rsidRDefault="00366FA9" w:rsidP="00B00B1D">
      <w:pPr>
        <w:pStyle w:val="NormalWeb"/>
        <w:spacing w:before="2" w:after="2"/>
        <w:rPr>
          <w:rFonts w:ascii="Times New Roman" w:hAnsi="Times New Roman"/>
          <w:b/>
          <w:bCs/>
          <w:sz w:val="24"/>
          <w:szCs w:val="24"/>
        </w:rPr>
      </w:pPr>
    </w:p>
    <w:p w:rsidR="00B00B1D" w:rsidRPr="00392851" w:rsidRDefault="00B00B1D" w:rsidP="00B00B1D">
      <w:pPr>
        <w:pStyle w:val="NormalWeb"/>
        <w:spacing w:before="2" w:after="2"/>
        <w:rPr>
          <w:rFonts w:ascii="Times New Roman" w:hAnsi="Times New Roman"/>
        </w:rPr>
      </w:pPr>
      <w:r w:rsidRPr="00392851">
        <w:rPr>
          <w:rFonts w:ascii="Times New Roman" w:hAnsi="Times New Roman"/>
          <w:b/>
          <w:bCs/>
          <w:sz w:val="24"/>
          <w:szCs w:val="24"/>
        </w:rPr>
        <w:t>Description:</w:t>
      </w:r>
    </w:p>
    <w:p w:rsidR="00B00B1D" w:rsidRDefault="00B00B1D" w:rsidP="00B00B1D">
      <w:pPr>
        <w:pStyle w:val="NormalWeb"/>
        <w:spacing w:before="2" w:after="2"/>
        <w:ind w:left="540"/>
        <w:rPr>
          <w:rFonts w:ascii="Times New Roman" w:hAnsi="Times New Roman"/>
          <w:sz w:val="24"/>
          <w:szCs w:val="24"/>
        </w:rPr>
      </w:pPr>
      <w:r w:rsidRPr="00392851">
        <w:rPr>
          <w:rFonts w:ascii="Times New Roman" w:hAnsi="Times New Roman"/>
          <w:sz w:val="24"/>
          <w:szCs w:val="24"/>
        </w:rPr>
        <w:t>CHEM 30</w:t>
      </w:r>
      <w:r>
        <w:rPr>
          <w:rFonts w:ascii="Times New Roman" w:hAnsi="Times New Roman"/>
          <w:sz w:val="24"/>
          <w:szCs w:val="24"/>
        </w:rPr>
        <w:t>4</w:t>
      </w:r>
      <w:r w:rsidRPr="00392851">
        <w:rPr>
          <w:rFonts w:ascii="Times New Roman" w:hAnsi="Times New Roman"/>
          <w:sz w:val="24"/>
          <w:szCs w:val="24"/>
        </w:rPr>
        <w:t xml:space="preserve"> introduces the fundamental </w:t>
      </w:r>
      <w:r>
        <w:rPr>
          <w:rFonts w:ascii="Times New Roman" w:hAnsi="Times New Roman"/>
          <w:sz w:val="24"/>
          <w:szCs w:val="24"/>
        </w:rPr>
        <w:t>lab techniques</w:t>
      </w:r>
      <w:r w:rsidRPr="00392851">
        <w:rPr>
          <w:rFonts w:ascii="Times New Roman" w:hAnsi="Times New Roman"/>
          <w:sz w:val="24"/>
          <w:szCs w:val="24"/>
        </w:rPr>
        <w:t xml:space="preserve"> of organic chemistry. Students will </w:t>
      </w:r>
      <w:r>
        <w:rPr>
          <w:rFonts w:ascii="Times New Roman" w:hAnsi="Times New Roman"/>
          <w:sz w:val="24"/>
          <w:szCs w:val="24"/>
        </w:rPr>
        <w:t>perform several experiments that demonstrate reactions covered in CHEM 301-302</w:t>
      </w:r>
      <w:r w:rsidRPr="00392851">
        <w:rPr>
          <w:rFonts w:ascii="Times New Roman" w:hAnsi="Times New Roman"/>
          <w:sz w:val="24"/>
          <w:szCs w:val="24"/>
        </w:rPr>
        <w:t>.</w:t>
      </w:r>
    </w:p>
    <w:p w:rsidR="00B70D75" w:rsidRDefault="00B70D75" w:rsidP="00F345EB">
      <w:pPr>
        <w:tabs>
          <w:tab w:val="left" w:pos="900"/>
        </w:tabs>
        <w:jc w:val="both"/>
      </w:pPr>
    </w:p>
    <w:p w:rsidR="005948AA" w:rsidRPr="000140BA" w:rsidRDefault="005948AA" w:rsidP="005948AA">
      <w:pPr>
        <w:pStyle w:val="NormalWeb"/>
        <w:spacing w:before="2" w:after="2"/>
        <w:rPr>
          <w:rFonts w:ascii="Times New Roman" w:hAnsi="Times New Roman"/>
          <w:b/>
          <w:bCs/>
          <w:sz w:val="24"/>
          <w:szCs w:val="24"/>
        </w:rPr>
      </w:pPr>
      <w:r w:rsidRPr="000140BA">
        <w:rPr>
          <w:rFonts w:ascii="Times New Roman" w:hAnsi="Times New Roman"/>
          <w:b/>
          <w:bCs/>
          <w:sz w:val="24"/>
          <w:szCs w:val="24"/>
        </w:rPr>
        <w:t>Objectives:</w:t>
      </w:r>
    </w:p>
    <w:p w:rsidR="005948AA" w:rsidRPr="000140BA" w:rsidRDefault="005948AA" w:rsidP="005948AA">
      <w:pPr>
        <w:pStyle w:val="NormalWeb"/>
        <w:spacing w:before="2" w:after="2"/>
        <w:ind w:firstLine="450"/>
        <w:rPr>
          <w:rFonts w:ascii="Times New Roman" w:hAnsi="Times New Roman"/>
          <w:sz w:val="24"/>
        </w:rPr>
      </w:pPr>
      <w:r w:rsidRPr="000140BA">
        <w:rPr>
          <w:rFonts w:ascii="Times New Roman" w:hAnsi="Times New Roman"/>
          <w:sz w:val="24"/>
        </w:rPr>
        <w:t xml:space="preserve">Students completing this </w:t>
      </w:r>
      <w:r w:rsidR="00A34677">
        <w:rPr>
          <w:rFonts w:ascii="Times New Roman" w:hAnsi="Times New Roman"/>
          <w:sz w:val="24"/>
        </w:rPr>
        <w:t>1</w:t>
      </w:r>
      <w:r w:rsidRPr="000140BA">
        <w:rPr>
          <w:rFonts w:ascii="Times New Roman" w:hAnsi="Times New Roman"/>
          <w:sz w:val="24"/>
        </w:rPr>
        <w:t>-credit undergraduate course will:</w:t>
      </w:r>
    </w:p>
    <w:p w:rsidR="005948AA" w:rsidRDefault="005948AA" w:rsidP="005948AA">
      <w:pPr>
        <w:pStyle w:val="ListParagraph"/>
        <w:numPr>
          <w:ilvl w:val="0"/>
          <w:numId w:val="5"/>
        </w:numPr>
        <w:jc w:val="both"/>
      </w:pPr>
      <w:r w:rsidRPr="00F345EB">
        <w:t>Be able to carry out operations common to an organic chemistry lab</w:t>
      </w:r>
    </w:p>
    <w:p w:rsidR="005948AA" w:rsidRDefault="005948AA" w:rsidP="005948AA">
      <w:pPr>
        <w:pStyle w:val="ListParagraph"/>
        <w:numPr>
          <w:ilvl w:val="0"/>
          <w:numId w:val="5"/>
        </w:numPr>
        <w:jc w:val="both"/>
      </w:pPr>
      <w:r w:rsidRPr="00F345EB">
        <w:t>Be able to keep a well-documented record of laboratory work in a proper lab notebook</w:t>
      </w:r>
    </w:p>
    <w:p w:rsidR="005948AA" w:rsidRDefault="005948AA" w:rsidP="005948AA">
      <w:pPr>
        <w:pStyle w:val="ListParagraph"/>
        <w:numPr>
          <w:ilvl w:val="0"/>
          <w:numId w:val="5"/>
        </w:numPr>
        <w:jc w:val="both"/>
      </w:pPr>
      <w:r w:rsidRPr="00F345EB">
        <w:t>Become familiar with the instrumental techniques of melting point, operation IR and NMR spectroscopy, mass spectrometry, and gas chromatography, as well as the operation of and interpretation of results from the corresponding laboratory instruments.</w:t>
      </w:r>
    </w:p>
    <w:p w:rsidR="005948AA" w:rsidRDefault="005948AA" w:rsidP="005948AA">
      <w:pPr>
        <w:pStyle w:val="ListParagraph"/>
        <w:numPr>
          <w:ilvl w:val="0"/>
          <w:numId w:val="5"/>
        </w:numPr>
        <w:jc w:val="both"/>
      </w:pPr>
      <w:r w:rsidRPr="00F345EB">
        <w:t>Communicate the design, execution, and analysis of data from an experimental procedure in a formal report.</w:t>
      </w:r>
    </w:p>
    <w:p w:rsidR="005948AA" w:rsidRDefault="005948AA" w:rsidP="005948AA">
      <w:pPr>
        <w:pStyle w:val="ListParagraph"/>
        <w:numPr>
          <w:ilvl w:val="0"/>
          <w:numId w:val="5"/>
        </w:numPr>
        <w:jc w:val="both"/>
      </w:pPr>
      <w:r w:rsidRPr="00F345EB">
        <w:t>Understand the hazards associated with chemicals and chemical operations and methods for the mitigation of those hazards.</w:t>
      </w:r>
    </w:p>
    <w:p w:rsidR="005948AA" w:rsidRPr="00F345EB" w:rsidRDefault="005948AA" w:rsidP="00F345EB">
      <w:pPr>
        <w:tabs>
          <w:tab w:val="left" w:pos="900"/>
        </w:tabs>
        <w:jc w:val="both"/>
      </w:pPr>
    </w:p>
    <w:p w:rsidR="00B70D75" w:rsidRPr="00F345EB" w:rsidRDefault="0042112E" w:rsidP="00F345EB">
      <w:pPr>
        <w:jc w:val="both"/>
        <w:rPr>
          <w:b/>
        </w:rPr>
      </w:pPr>
      <w:r>
        <w:rPr>
          <w:b/>
        </w:rPr>
        <w:t>Course</w:t>
      </w:r>
      <w:r w:rsidR="00B70D75" w:rsidRPr="00F345EB">
        <w:rPr>
          <w:b/>
        </w:rPr>
        <w:t xml:space="preserve"> Materials:</w:t>
      </w:r>
    </w:p>
    <w:p w:rsidR="002760DD" w:rsidRDefault="00B70D75" w:rsidP="002760DD">
      <w:pPr>
        <w:ind w:firstLine="720"/>
        <w:jc w:val="both"/>
        <w:rPr>
          <w:i/>
          <w:iCs/>
        </w:rPr>
      </w:pPr>
      <w:r w:rsidRPr="007F3902">
        <w:t>Text:</w:t>
      </w:r>
      <w:r w:rsidR="002760DD">
        <w:rPr>
          <w:b/>
        </w:rPr>
        <w:tab/>
      </w:r>
      <w:r w:rsidR="002760DD">
        <w:rPr>
          <w:b/>
        </w:rPr>
        <w:tab/>
      </w:r>
      <w:r w:rsidRPr="00F345EB">
        <w:t xml:space="preserve">Anne B. </w:t>
      </w:r>
      <w:proofErr w:type="spellStart"/>
      <w:r w:rsidRPr="00F345EB">
        <w:t>Padías</w:t>
      </w:r>
      <w:proofErr w:type="spellEnd"/>
      <w:r w:rsidRPr="00F345EB">
        <w:t xml:space="preserve">, </w:t>
      </w:r>
      <w:r w:rsidRPr="00F345EB">
        <w:rPr>
          <w:i/>
          <w:iCs/>
        </w:rPr>
        <w:t>Making the Connections:  A How-To</w:t>
      </w:r>
      <w:r w:rsidR="002760DD">
        <w:rPr>
          <w:i/>
          <w:iCs/>
        </w:rPr>
        <w:t xml:space="preserve"> Guide for Organic </w:t>
      </w:r>
    </w:p>
    <w:p w:rsidR="00B70D75" w:rsidRPr="0042112E" w:rsidRDefault="002760DD" w:rsidP="0042112E">
      <w:pPr>
        <w:spacing w:after="120"/>
        <w:ind w:left="1440" w:firstLine="720"/>
        <w:jc w:val="both"/>
        <w:rPr>
          <w:i/>
          <w:iCs/>
        </w:rPr>
      </w:pPr>
      <w:r>
        <w:rPr>
          <w:i/>
          <w:iCs/>
        </w:rPr>
        <w:t>Chemistry Lab</w:t>
      </w:r>
      <w:r w:rsidR="00B70D75" w:rsidRPr="00F345EB">
        <w:rPr>
          <w:i/>
          <w:iCs/>
        </w:rPr>
        <w:t xml:space="preserve"> Techniques</w:t>
      </w:r>
      <w:r w:rsidR="00B70D75" w:rsidRPr="00F345EB">
        <w:t>. 2</w:t>
      </w:r>
      <w:r w:rsidR="00B70D75" w:rsidRPr="00F345EB">
        <w:rPr>
          <w:vertAlign w:val="superscript"/>
        </w:rPr>
        <w:t>nd</w:t>
      </w:r>
      <w:r w:rsidR="00B70D75" w:rsidRPr="00F345EB">
        <w:t xml:space="preserve"> </w:t>
      </w:r>
      <w:r w:rsidR="003D5397">
        <w:t>or 3</w:t>
      </w:r>
      <w:r w:rsidR="003D5397" w:rsidRPr="003D5397">
        <w:rPr>
          <w:vertAlign w:val="superscript"/>
        </w:rPr>
        <w:t>rd</w:t>
      </w:r>
      <w:r w:rsidR="003D5397">
        <w:t xml:space="preserve"> </w:t>
      </w:r>
      <w:r w:rsidR="0042112E">
        <w:t>edition</w:t>
      </w:r>
    </w:p>
    <w:p w:rsidR="00B70D75" w:rsidRPr="00F345EB" w:rsidRDefault="00B70D75" w:rsidP="0042112E">
      <w:pPr>
        <w:spacing w:after="120"/>
        <w:ind w:firstLine="720"/>
        <w:jc w:val="both"/>
      </w:pPr>
      <w:r w:rsidRPr="007F3902">
        <w:t>Notebook:</w:t>
      </w:r>
      <w:r w:rsidR="002760DD">
        <w:tab/>
      </w:r>
      <w:r w:rsidRPr="00F345EB">
        <w:rPr>
          <w:i/>
        </w:rPr>
        <w:t>The Official Laboratory Research Notebook</w:t>
      </w:r>
      <w:r w:rsidRPr="00F345EB">
        <w:t xml:space="preserve"> or equivalent</w:t>
      </w:r>
    </w:p>
    <w:p w:rsidR="00555F9D" w:rsidRPr="00F345EB" w:rsidRDefault="00B70D75" w:rsidP="00F96A64">
      <w:pPr>
        <w:spacing w:after="120"/>
        <w:ind w:left="2160" w:hanging="1440"/>
        <w:jc w:val="both"/>
      </w:pPr>
      <w:r w:rsidRPr="007F3902">
        <w:t>Goggles:</w:t>
      </w:r>
      <w:r w:rsidRPr="00F345EB">
        <w:rPr>
          <w:b/>
        </w:rPr>
        <w:t xml:space="preserve">  </w:t>
      </w:r>
      <w:r w:rsidR="002760DD">
        <w:rPr>
          <w:b/>
        </w:rPr>
        <w:tab/>
      </w:r>
      <w:r w:rsidRPr="00F345EB">
        <w:t>Each student must purchase an approved pair of s</w:t>
      </w:r>
      <w:r w:rsidR="00F345EB">
        <w:t>afety goggles</w:t>
      </w:r>
      <w:r w:rsidR="007F3902">
        <w:t>.</w:t>
      </w:r>
      <w:r w:rsidR="00CA7163">
        <w:t xml:space="preserve"> </w:t>
      </w:r>
      <w:r w:rsidRPr="00F345EB">
        <w:t xml:space="preserve">Only approved safety goggles </w:t>
      </w:r>
      <w:r w:rsidR="00F345EB">
        <w:t xml:space="preserve">are acceptable. You will not be </w:t>
      </w:r>
      <w:r w:rsidRPr="00F345EB">
        <w:t>permitted to perform the</w:t>
      </w:r>
      <w:r w:rsidR="002760DD">
        <w:t xml:space="preserve"> l</w:t>
      </w:r>
      <w:r w:rsidRPr="00F345EB">
        <w:t>aboratory exp</w:t>
      </w:r>
      <w:r w:rsidR="0042112E">
        <w:t>eriments without safety goggles</w:t>
      </w:r>
    </w:p>
    <w:p w:rsidR="00B70D75" w:rsidRPr="00F345EB" w:rsidRDefault="00F96A64" w:rsidP="00F96A64">
      <w:pPr>
        <w:ind w:left="2160" w:hanging="1440"/>
        <w:jc w:val="both"/>
      </w:pPr>
      <w:r w:rsidRPr="00F96A64">
        <w:t>Other:</w:t>
      </w:r>
      <w:r w:rsidRPr="00F96A64">
        <w:tab/>
      </w:r>
      <w:r>
        <w:t>Experiment h</w:t>
      </w:r>
      <w:r w:rsidR="00B70D75" w:rsidRPr="00F345EB">
        <w:t xml:space="preserve">andouts </w:t>
      </w:r>
      <w:r>
        <w:t>and other materials</w:t>
      </w:r>
      <w:r w:rsidR="00B70D75" w:rsidRPr="00F345EB">
        <w:t xml:space="preserve"> are </w:t>
      </w:r>
      <w:r>
        <w:t>available</w:t>
      </w:r>
      <w:r w:rsidR="00F345EB">
        <w:t xml:space="preserve"> on</w:t>
      </w:r>
      <w:r w:rsidR="00B70D75" w:rsidRPr="00F345EB">
        <w:t xml:space="preserve"> the course </w:t>
      </w:r>
      <w:r w:rsidR="000E2C7A">
        <w:t>Blackboard</w:t>
      </w:r>
    </w:p>
    <w:p w:rsidR="00F345EB" w:rsidRPr="00F345EB" w:rsidRDefault="00F345EB" w:rsidP="00F345EB">
      <w:pPr>
        <w:jc w:val="both"/>
      </w:pPr>
    </w:p>
    <w:p w:rsidR="00132A3F" w:rsidRDefault="00F345EB" w:rsidP="00F345EB">
      <w:pPr>
        <w:tabs>
          <w:tab w:val="left" w:pos="1080"/>
          <w:tab w:val="right" w:pos="5040"/>
        </w:tabs>
        <w:ind w:hanging="900"/>
        <w:jc w:val="both"/>
      </w:pPr>
      <w:r w:rsidRPr="00F345EB">
        <w:rPr>
          <w:b/>
        </w:rPr>
        <w:tab/>
      </w:r>
      <w:r w:rsidR="00B70D75" w:rsidRPr="00F345EB">
        <w:rPr>
          <w:b/>
        </w:rPr>
        <w:t>Prelab Briefing:</w:t>
      </w:r>
    </w:p>
    <w:p w:rsidR="00B70D75" w:rsidRPr="00F345EB" w:rsidRDefault="00132A3F" w:rsidP="00132A3F">
      <w:pPr>
        <w:tabs>
          <w:tab w:val="left" w:pos="1080"/>
          <w:tab w:val="right" w:pos="5040"/>
        </w:tabs>
        <w:ind w:left="720" w:hanging="900"/>
        <w:jc w:val="both"/>
      </w:pPr>
      <w:r>
        <w:tab/>
      </w:r>
      <w:r w:rsidR="00B70D75" w:rsidRPr="00F345EB">
        <w:t xml:space="preserve">Each week there will be a briefing on the experiment to be carried out. </w:t>
      </w:r>
      <w:r w:rsidR="000E2C7A" w:rsidRPr="000E2C7A">
        <w:t xml:space="preserve">These prelab briefings will be available as videos accessible from Blackboard. </w:t>
      </w:r>
      <w:r w:rsidR="000E2C7A">
        <w:rPr>
          <w:u w:val="single"/>
        </w:rPr>
        <w:t>Students should watch the prelab briefing for each experiment prior to attending lab each week.</w:t>
      </w:r>
    </w:p>
    <w:p w:rsidR="003F06EA" w:rsidRDefault="003F06EA" w:rsidP="00F345EB">
      <w:pPr>
        <w:tabs>
          <w:tab w:val="left" w:pos="1080"/>
          <w:tab w:val="right" w:pos="5040"/>
        </w:tabs>
        <w:ind w:hanging="900"/>
        <w:jc w:val="both"/>
        <w:rPr>
          <w:b/>
        </w:rPr>
      </w:pPr>
    </w:p>
    <w:p w:rsidR="00F96A64" w:rsidRDefault="00F96A64" w:rsidP="00F96A64">
      <w:pPr>
        <w:jc w:val="both"/>
        <w:rPr>
          <w:b/>
        </w:rPr>
      </w:pPr>
      <w:r w:rsidRPr="00F345EB">
        <w:rPr>
          <w:b/>
        </w:rPr>
        <w:t>Lab Attendance and Conduct:</w:t>
      </w:r>
    </w:p>
    <w:p w:rsidR="00F96A64" w:rsidRDefault="00F96A64" w:rsidP="00F96A64">
      <w:pPr>
        <w:spacing w:after="120"/>
        <w:ind w:left="720"/>
        <w:jc w:val="both"/>
      </w:pPr>
      <w:r>
        <w:t>E</w:t>
      </w:r>
      <w:r w:rsidRPr="00F345EB">
        <w:t xml:space="preserve">xperiments </w:t>
      </w:r>
      <w:r>
        <w:t xml:space="preserve">missed </w:t>
      </w:r>
      <w:r w:rsidRPr="00F345EB">
        <w:t>due to unexcused absences will be counted as a zero. Experiments missed due to excused absences may only be made up with</w:t>
      </w:r>
      <w:r>
        <w:t xml:space="preserve"> instructor </w:t>
      </w:r>
      <w:r w:rsidRPr="00F345EB">
        <w:t>permission. Students are expected to adhere to the Winthrop Student Conduct Code as ou</w:t>
      </w:r>
      <w:r>
        <w:t>tlined in the Student Handbook:</w:t>
      </w:r>
    </w:p>
    <w:p w:rsidR="00F96A64" w:rsidRDefault="00C143D0" w:rsidP="00F96A64">
      <w:pPr>
        <w:jc w:val="center"/>
      </w:pPr>
      <w:hyperlink r:id="rId10" w:history="1">
        <w:r w:rsidR="00F96A64" w:rsidRPr="00F345EB">
          <w:rPr>
            <w:rStyle w:val="Hyperlink"/>
          </w:rPr>
          <w:t>http://www2.winthrop.edu/studentaffairs/handbook/StudentHandbook.pdf</w:t>
        </w:r>
      </w:hyperlink>
    </w:p>
    <w:p w:rsidR="00132A3F" w:rsidRDefault="00B70D75" w:rsidP="002F1997">
      <w:pPr>
        <w:tabs>
          <w:tab w:val="left" w:pos="1080"/>
          <w:tab w:val="right" w:pos="5040"/>
        </w:tabs>
        <w:jc w:val="both"/>
      </w:pPr>
      <w:r w:rsidRPr="00F345EB">
        <w:rPr>
          <w:b/>
        </w:rPr>
        <w:lastRenderedPageBreak/>
        <w:t>Laboratory Work:</w:t>
      </w:r>
    </w:p>
    <w:p w:rsidR="00F96A64" w:rsidRDefault="00375E63" w:rsidP="00B94693">
      <w:pPr>
        <w:tabs>
          <w:tab w:val="left" w:pos="1080"/>
          <w:tab w:val="right" w:pos="5040"/>
        </w:tabs>
        <w:ind w:left="720"/>
        <w:jc w:val="both"/>
        <w:rPr>
          <w:b/>
        </w:rPr>
      </w:pPr>
      <w:r>
        <w:t>Each student should</w:t>
      </w:r>
      <w:r w:rsidR="00B70D75" w:rsidRPr="00F345EB">
        <w:t xml:space="preserve"> report to their assigned lab statio</w:t>
      </w:r>
      <w:r w:rsidR="000B0F62">
        <w:t>n in Sims 104</w:t>
      </w:r>
      <w:r w:rsidR="00B70D75" w:rsidRPr="00F345EB">
        <w:t xml:space="preserve"> to carry out the experiment.</w:t>
      </w:r>
      <w:r w:rsidR="00110282">
        <w:t xml:space="preserve"> </w:t>
      </w:r>
      <w:r w:rsidR="00B70D75" w:rsidRPr="00F345EB">
        <w:t xml:space="preserve">Experiments should be performed individually unless instructed otherwise. </w:t>
      </w:r>
      <w:r w:rsidR="000B0F62">
        <w:t>S</w:t>
      </w:r>
      <w:r w:rsidR="00B70D75" w:rsidRPr="00F345EB">
        <w:t xml:space="preserve">amples generated for subsequent processing or analysis must be properly labeled with the student’s name and experiment number. </w:t>
      </w:r>
      <w:r w:rsidR="000B0F62">
        <w:t>I</w:t>
      </w:r>
      <w:r w:rsidR="00B70D75" w:rsidRPr="00F345EB">
        <w:t xml:space="preserve">t is the student’s responsibility to leave their area clean and organized for the next lab section. Failure to do so will result in a </w:t>
      </w:r>
      <w:r w:rsidR="00B54056">
        <w:t>10</w:t>
      </w:r>
      <w:r w:rsidR="00B70D75" w:rsidRPr="00F345EB">
        <w:t xml:space="preserve">-point penalty on the </w:t>
      </w:r>
      <w:r w:rsidR="007F3902">
        <w:t>lab report grade</w:t>
      </w:r>
      <w:r w:rsidR="000B0F62">
        <w:t xml:space="preserve">. </w:t>
      </w:r>
      <w:r w:rsidR="006D1535">
        <w:rPr>
          <w:b/>
        </w:rPr>
        <w:t>NOTE:</w:t>
      </w:r>
      <w:r w:rsidR="00B70D75" w:rsidRPr="00F345EB">
        <w:rPr>
          <w:b/>
        </w:rPr>
        <w:t xml:space="preserve"> Any student who is unprepared for lab (</w:t>
      </w:r>
      <w:r w:rsidR="006D1535">
        <w:rPr>
          <w:b/>
        </w:rPr>
        <w:t>no</w:t>
      </w:r>
      <w:r w:rsidR="00B70D75" w:rsidRPr="00F345EB">
        <w:rPr>
          <w:b/>
        </w:rPr>
        <w:t xml:space="preserve"> notebook, </w:t>
      </w:r>
      <w:r w:rsidR="006D1535">
        <w:rPr>
          <w:b/>
        </w:rPr>
        <w:t>no</w:t>
      </w:r>
      <w:r w:rsidR="00B70D75" w:rsidRPr="00F345EB">
        <w:rPr>
          <w:b/>
        </w:rPr>
        <w:t xml:space="preserve"> lab goggles, </w:t>
      </w:r>
      <w:r w:rsidR="006D1535">
        <w:rPr>
          <w:b/>
        </w:rPr>
        <w:t>in</w:t>
      </w:r>
      <w:r w:rsidR="00B70D75" w:rsidRPr="00F345EB">
        <w:rPr>
          <w:b/>
        </w:rPr>
        <w:t xml:space="preserve">complete prelab) </w:t>
      </w:r>
      <w:r w:rsidR="00BA5AFD">
        <w:rPr>
          <w:b/>
        </w:rPr>
        <w:t xml:space="preserve">or violates safety standards </w:t>
      </w:r>
      <w:r w:rsidR="00B70D75" w:rsidRPr="00F345EB">
        <w:rPr>
          <w:b/>
        </w:rPr>
        <w:t>may not perform the lab and will receive a zero.</w:t>
      </w:r>
    </w:p>
    <w:p w:rsidR="00B94693" w:rsidRDefault="00B94693" w:rsidP="00B94693">
      <w:pPr>
        <w:tabs>
          <w:tab w:val="left" w:pos="1080"/>
          <w:tab w:val="right" w:pos="5040"/>
        </w:tabs>
        <w:ind w:left="720"/>
        <w:jc w:val="both"/>
      </w:pPr>
    </w:p>
    <w:p w:rsidR="00132A3F" w:rsidRDefault="00F345EB" w:rsidP="00B94693">
      <w:pPr>
        <w:tabs>
          <w:tab w:val="left" w:pos="1080"/>
          <w:tab w:val="right" w:pos="5040"/>
        </w:tabs>
        <w:jc w:val="both"/>
      </w:pPr>
      <w:r w:rsidRPr="00F345EB">
        <w:rPr>
          <w:b/>
        </w:rPr>
        <w:t>Post-Laboratory Analyses:</w:t>
      </w:r>
    </w:p>
    <w:p w:rsidR="00F345EB" w:rsidRDefault="00F345EB" w:rsidP="00132A3F">
      <w:pPr>
        <w:tabs>
          <w:tab w:val="left" w:pos="1080"/>
          <w:tab w:val="right" w:pos="5040"/>
        </w:tabs>
        <w:ind w:left="720"/>
        <w:jc w:val="both"/>
      </w:pPr>
      <w:r w:rsidRPr="00F345EB">
        <w:t xml:space="preserve">In many cases, </w:t>
      </w:r>
      <w:r w:rsidR="00555F9D">
        <w:t>laboratory samples</w:t>
      </w:r>
      <w:r w:rsidRPr="00F345EB">
        <w:t xml:space="preserve"> must be analyzed </w:t>
      </w:r>
      <w:r w:rsidR="00375913">
        <w:t>at</w:t>
      </w:r>
      <w:r w:rsidRPr="00F345EB">
        <w:t xml:space="preserve"> a time outside of lab. Contact the Chemi</w:t>
      </w:r>
      <w:r w:rsidR="00132A3F">
        <w:t xml:space="preserve">stry </w:t>
      </w:r>
      <w:r w:rsidR="00534D89">
        <w:t>Instrumentation Manager (Dr</w:t>
      </w:r>
      <w:r w:rsidRPr="00F345EB">
        <w:t xml:space="preserve">. </w:t>
      </w:r>
      <w:r w:rsidR="00534D89">
        <w:t>Athena Detrick</w:t>
      </w:r>
      <w:r w:rsidRPr="00F345EB">
        <w:t>, 301B Sims) to schedule a</w:t>
      </w:r>
      <w:r w:rsidR="00375913">
        <w:t>nalysis</w:t>
      </w:r>
      <w:r w:rsidRPr="00F345EB">
        <w:t xml:space="preserve"> time.</w:t>
      </w:r>
    </w:p>
    <w:p w:rsidR="00F345EB" w:rsidRPr="00F345EB" w:rsidRDefault="00F345EB" w:rsidP="00461262">
      <w:pPr>
        <w:tabs>
          <w:tab w:val="left" w:pos="1080"/>
          <w:tab w:val="right" w:pos="5040"/>
        </w:tabs>
        <w:jc w:val="both"/>
      </w:pPr>
    </w:p>
    <w:p w:rsidR="00132A3F" w:rsidRDefault="00F345EB" w:rsidP="00F345EB">
      <w:pPr>
        <w:tabs>
          <w:tab w:val="left" w:pos="1080"/>
          <w:tab w:val="right" w:pos="5040"/>
        </w:tabs>
        <w:ind w:hanging="900"/>
        <w:jc w:val="both"/>
      </w:pPr>
      <w:r>
        <w:rPr>
          <w:b/>
        </w:rPr>
        <w:tab/>
      </w:r>
      <w:r w:rsidRPr="00F345EB">
        <w:rPr>
          <w:b/>
        </w:rPr>
        <w:t>Grading:</w:t>
      </w:r>
    </w:p>
    <w:p w:rsidR="00F345EB" w:rsidRDefault="00F345EB" w:rsidP="00132A3F">
      <w:pPr>
        <w:tabs>
          <w:tab w:val="left" w:pos="1080"/>
          <w:tab w:val="right" w:pos="5040"/>
        </w:tabs>
        <w:ind w:left="720"/>
        <w:jc w:val="both"/>
      </w:pPr>
      <w:r w:rsidRPr="00F345EB">
        <w:t>Each</w:t>
      </w:r>
      <w:r w:rsidR="00555F9D">
        <w:t xml:space="preserve"> student must submit a complete Experiment Portfolio (</w:t>
      </w:r>
      <w:r w:rsidR="00132A3F">
        <w:t xml:space="preserve">lab report) for each experiment. </w:t>
      </w:r>
      <w:r w:rsidR="009D162E">
        <w:t>Technique Experiments</w:t>
      </w:r>
      <w:r w:rsidR="009D162E" w:rsidRPr="00F345EB">
        <w:t xml:space="preserve"> </w:t>
      </w:r>
      <w:r w:rsidR="00132A3F">
        <w:t>are</w:t>
      </w:r>
      <w:r w:rsidR="009D162E">
        <w:t xml:space="preserve"> graded on a scale of 50 pts and Reaction Experiments</w:t>
      </w:r>
      <w:r w:rsidRPr="00F345EB">
        <w:t xml:space="preserve"> </w:t>
      </w:r>
      <w:r w:rsidR="00132A3F">
        <w:t>are</w:t>
      </w:r>
      <w:r w:rsidR="00CA7163">
        <w:t xml:space="preserve"> graded on a scale of 100 pts</w:t>
      </w:r>
      <w:r w:rsidR="00D31290">
        <w:t xml:space="preserve"> in accordance with the Lab Report Guidelines</w:t>
      </w:r>
      <w:r w:rsidRPr="00F345EB">
        <w:t>.</w:t>
      </w:r>
      <w:r w:rsidR="00132A3F">
        <w:t xml:space="preserve"> </w:t>
      </w:r>
      <w:r w:rsidR="00C55BB1">
        <w:t xml:space="preserve">Late assignments will be penalized </w:t>
      </w:r>
      <w:r w:rsidR="008143DB">
        <w:t>10</w:t>
      </w:r>
      <w:r w:rsidR="00132A3F">
        <w:t>% per day.</w:t>
      </w:r>
      <w:r w:rsidR="00C55BB1">
        <w:t xml:space="preserve"> </w:t>
      </w:r>
      <w:r w:rsidR="00C55BB1" w:rsidRPr="00C55BB1">
        <w:rPr>
          <w:b/>
          <w:u w:val="single"/>
        </w:rPr>
        <w:t>No assignments will be accepted after one week from the due date.</w:t>
      </w:r>
    </w:p>
    <w:p w:rsidR="00F345EB" w:rsidRPr="00F345EB" w:rsidRDefault="00F345EB" w:rsidP="00F345EB">
      <w:pPr>
        <w:tabs>
          <w:tab w:val="left" w:pos="1080"/>
          <w:tab w:val="right" w:pos="5040"/>
        </w:tabs>
        <w:ind w:hanging="900"/>
        <w:jc w:val="both"/>
      </w:pPr>
    </w:p>
    <w:p w:rsidR="00132A3F" w:rsidRDefault="00F345EB" w:rsidP="00F345EB">
      <w:pPr>
        <w:jc w:val="both"/>
      </w:pPr>
      <w:r w:rsidRPr="00F345EB">
        <w:rPr>
          <w:b/>
        </w:rPr>
        <w:t>Final Course Grade:</w:t>
      </w:r>
    </w:p>
    <w:p w:rsidR="00F345EB" w:rsidRDefault="00F345EB" w:rsidP="00132A3F">
      <w:pPr>
        <w:tabs>
          <w:tab w:val="left" w:pos="720"/>
        </w:tabs>
        <w:spacing w:after="120"/>
        <w:ind w:left="720"/>
        <w:jc w:val="both"/>
      </w:pPr>
      <w:r w:rsidRPr="00F345EB">
        <w:t xml:space="preserve">The final grade for the course </w:t>
      </w:r>
      <w:r w:rsidR="00B643A2">
        <w:t>is determined from</w:t>
      </w:r>
      <w:r w:rsidRPr="00F345EB">
        <w:t xml:space="preserve"> the </w:t>
      </w:r>
      <w:r w:rsidR="00B643A2">
        <w:t xml:space="preserve">weighted </w:t>
      </w:r>
      <w:r w:rsidRPr="00F345EB">
        <w:t xml:space="preserve">average of the student’s grades for </w:t>
      </w:r>
      <w:r w:rsidR="00B643A2">
        <w:t>all</w:t>
      </w:r>
      <w:r w:rsidRPr="00F345EB">
        <w:t xml:space="preserve"> lab assignments.</w:t>
      </w:r>
      <w:r w:rsidR="00132A3F">
        <w:t xml:space="preserve"> </w:t>
      </w:r>
      <w:r w:rsidR="00EB641F">
        <w:t xml:space="preserve">Final </w:t>
      </w:r>
      <w:r w:rsidRPr="00F345EB">
        <w:t>grades</w:t>
      </w:r>
      <w:r w:rsidR="00EB641F">
        <w:t xml:space="preserve"> are assigned</w:t>
      </w:r>
      <w:r w:rsidRPr="00F345EB">
        <w:t xml:space="preserve"> </w:t>
      </w:r>
      <w:r w:rsidR="00EB641F">
        <w:t>using</w:t>
      </w:r>
      <w:r w:rsidRPr="00F345EB">
        <w:t xml:space="preserve"> the following ranges:</w:t>
      </w:r>
    </w:p>
    <w:tbl>
      <w:tblPr>
        <w:tblStyle w:val="TableGrid"/>
        <w:tblW w:w="0" w:type="auto"/>
        <w:jc w:val="center"/>
        <w:tblBorders>
          <w:insideH w:val="none" w:sz="0" w:space="0" w:color="auto"/>
          <w:insideV w:val="none" w:sz="0" w:space="0" w:color="auto"/>
        </w:tblBorders>
        <w:tblLook w:val="04A0" w:firstRow="1" w:lastRow="0" w:firstColumn="1" w:lastColumn="0" w:noHBand="0" w:noVBand="1"/>
      </w:tblPr>
      <w:tblGrid>
        <w:gridCol w:w="1869"/>
        <w:gridCol w:w="1844"/>
        <w:gridCol w:w="1558"/>
      </w:tblGrid>
      <w:tr w:rsidR="00B94693" w:rsidTr="009155E8">
        <w:trPr>
          <w:trHeight w:val="170"/>
          <w:jc w:val="center"/>
        </w:trPr>
        <w:tc>
          <w:tcPr>
            <w:tcW w:w="1869" w:type="dxa"/>
          </w:tcPr>
          <w:p w:rsidR="00B94693" w:rsidRPr="009155E8" w:rsidRDefault="00B94693" w:rsidP="00B94693">
            <w:pPr>
              <w:tabs>
                <w:tab w:val="left" w:pos="720"/>
              </w:tabs>
              <w:jc w:val="both"/>
              <w:rPr>
                <w:sz w:val="18"/>
              </w:rPr>
            </w:pPr>
            <w:r w:rsidRPr="009155E8">
              <w:rPr>
                <w:sz w:val="18"/>
              </w:rPr>
              <w:t>A = 93 – 100%</w:t>
            </w:r>
          </w:p>
        </w:tc>
        <w:tc>
          <w:tcPr>
            <w:tcW w:w="1844" w:type="dxa"/>
          </w:tcPr>
          <w:p w:rsidR="00B94693" w:rsidRPr="009155E8" w:rsidRDefault="00B94693" w:rsidP="00B94693">
            <w:pPr>
              <w:tabs>
                <w:tab w:val="left" w:pos="720"/>
              </w:tabs>
              <w:jc w:val="both"/>
              <w:rPr>
                <w:sz w:val="18"/>
              </w:rPr>
            </w:pPr>
            <w:r w:rsidRPr="009155E8">
              <w:rPr>
                <w:sz w:val="18"/>
              </w:rPr>
              <w:t>A- = 90 – 92.99%</w:t>
            </w:r>
          </w:p>
        </w:tc>
        <w:tc>
          <w:tcPr>
            <w:tcW w:w="1558" w:type="dxa"/>
          </w:tcPr>
          <w:p w:rsidR="00B94693" w:rsidRPr="009155E8" w:rsidRDefault="00B94693" w:rsidP="00B94693">
            <w:pPr>
              <w:tabs>
                <w:tab w:val="left" w:pos="720"/>
              </w:tabs>
              <w:jc w:val="both"/>
              <w:rPr>
                <w:sz w:val="18"/>
              </w:rPr>
            </w:pPr>
          </w:p>
        </w:tc>
      </w:tr>
      <w:tr w:rsidR="00B94693" w:rsidTr="009155E8">
        <w:trPr>
          <w:trHeight w:val="77"/>
          <w:jc w:val="center"/>
        </w:trPr>
        <w:tc>
          <w:tcPr>
            <w:tcW w:w="1869" w:type="dxa"/>
          </w:tcPr>
          <w:p w:rsidR="00B94693" w:rsidRPr="009155E8" w:rsidRDefault="00B94693" w:rsidP="00B94693">
            <w:pPr>
              <w:tabs>
                <w:tab w:val="left" w:pos="720"/>
              </w:tabs>
              <w:jc w:val="both"/>
              <w:rPr>
                <w:sz w:val="18"/>
              </w:rPr>
            </w:pPr>
            <w:r w:rsidRPr="009155E8">
              <w:rPr>
                <w:sz w:val="18"/>
              </w:rPr>
              <w:t>B+ = 87 – 89.99%</w:t>
            </w:r>
          </w:p>
        </w:tc>
        <w:tc>
          <w:tcPr>
            <w:tcW w:w="1844" w:type="dxa"/>
          </w:tcPr>
          <w:p w:rsidR="00B94693" w:rsidRPr="009155E8" w:rsidRDefault="00B94693" w:rsidP="00B94693">
            <w:pPr>
              <w:tabs>
                <w:tab w:val="left" w:pos="720"/>
              </w:tabs>
              <w:jc w:val="both"/>
              <w:rPr>
                <w:sz w:val="18"/>
              </w:rPr>
            </w:pPr>
            <w:r w:rsidRPr="009155E8">
              <w:rPr>
                <w:sz w:val="18"/>
              </w:rPr>
              <w:t>B = 83 – 86.99%</w:t>
            </w:r>
          </w:p>
        </w:tc>
        <w:tc>
          <w:tcPr>
            <w:tcW w:w="1558" w:type="dxa"/>
          </w:tcPr>
          <w:p w:rsidR="00B94693" w:rsidRPr="009155E8" w:rsidRDefault="00B94693" w:rsidP="00B94693">
            <w:pPr>
              <w:tabs>
                <w:tab w:val="left" w:pos="720"/>
              </w:tabs>
              <w:jc w:val="both"/>
              <w:rPr>
                <w:sz w:val="18"/>
              </w:rPr>
            </w:pPr>
            <w:r w:rsidRPr="009155E8">
              <w:rPr>
                <w:sz w:val="18"/>
              </w:rPr>
              <w:t>B- = 80 – 82.99%</w:t>
            </w:r>
          </w:p>
        </w:tc>
      </w:tr>
      <w:tr w:rsidR="00B94693" w:rsidTr="009155E8">
        <w:trPr>
          <w:jc w:val="center"/>
        </w:trPr>
        <w:tc>
          <w:tcPr>
            <w:tcW w:w="1869" w:type="dxa"/>
          </w:tcPr>
          <w:p w:rsidR="00B94693" w:rsidRPr="009155E8" w:rsidRDefault="00B94693" w:rsidP="00B94693">
            <w:pPr>
              <w:tabs>
                <w:tab w:val="left" w:pos="720"/>
              </w:tabs>
              <w:jc w:val="both"/>
              <w:rPr>
                <w:sz w:val="18"/>
              </w:rPr>
            </w:pPr>
            <w:r w:rsidRPr="009155E8">
              <w:rPr>
                <w:sz w:val="18"/>
              </w:rPr>
              <w:t>C+ = 77 – 79.99%</w:t>
            </w:r>
          </w:p>
        </w:tc>
        <w:tc>
          <w:tcPr>
            <w:tcW w:w="1844" w:type="dxa"/>
          </w:tcPr>
          <w:p w:rsidR="00B94693" w:rsidRPr="009155E8" w:rsidRDefault="00B94693" w:rsidP="00B94693">
            <w:pPr>
              <w:tabs>
                <w:tab w:val="left" w:pos="720"/>
              </w:tabs>
              <w:jc w:val="both"/>
              <w:rPr>
                <w:sz w:val="18"/>
              </w:rPr>
            </w:pPr>
            <w:r w:rsidRPr="009155E8">
              <w:rPr>
                <w:sz w:val="18"/>
              </w:rPr>
              <w:t>C = 73 – 76.99%</w:t>
            </w:r>
          </w:p>
        </w:tc>
        <w:tc>
          <w:tcPr>
            <w:tcW w:w="1558" w:type="dxa"/>
          </w:tcPr>
          <w:p w:rsidR="00B94693" w:rsidRPr="009155E8" w:rsidRDefault="00B94693" w:rsidP="00B94693">
            <w:pPr>
              <w:tabs>
                <w:tab w:val="left" w:pos="720"/>
              </w:tabs>
              <w:jc w:val="both"/>
              <w:rPr>
                <w:sz w:val="18"/>
              </w:rPr>
            </w:pPr>
            <w:r w:rsidRPr="009155E8">
              <w:rPr>
                <w:sz w:val="18"/>
              </w:rPr>
              <w:t>C- = 70 – 72.99%</w:t>
            </w:r>
          </w:p>
        </w:tc>
      </w:tr>
      <w:tr w:rsidR="00B94693" w:rsidTr="009155E8">
        <w:trPr>
          <w:jc w:val="center"/>
        </w:trPr>
        <w:tc>
          <w:tcPr>
            <w:tcW w:w="1869" w:type="dxa"/>
          </w:tcPr>
          <w:p w:rsidR="00B94693" w:rsidRPr="009155E8" w:rsidRDefault="00B94693" w:rsidP="00B94693">
            <w:pPr>
              <w:tabs>
                <w:tab w:val="left" w:pos="720"/>
              </w:tabs>
              <w:jc w:val="both"/>
              <w:rPr>
                <w:sz w:val="18"/>
              </w:rPr>
            </w:pPr>
            <w:r w:rsidRPr="009155E8">
              <w:rPr>
                <w:sz w:val="18"/>
              </w:rPr>
              <w:t>D = 60 – 69.99%</w:t>
            </w:r>
          </w:p>
        </w:tc>
        <w:tc>
          <w:tcPr>
            <w:tcW w:w="1844" w:type="dxa"/>
          </w:tcPr>
          <w:p w:rsidR="00B94693" w:rsidRPr="009155E8" w:rsidRDefault="00B94693" w:rsidP="00B94693">
            <w:pPr>
              <w:tabs>
                <w:tab w:val="left" w:pos="720"/>
              </w:tabs>
              <w:jc w:val="both"/>
              <w:rPr>
                <w:sz w:val="18"/>
              </w:rPr>
            </w:pPr>
          </w:p>
        </w:tc>
        <w:tc>
          <w:tcPr>
            <w:tcW w:w="1558" w:type="dxa"/>
          </w:tcPr>
          <w:p w:rsidR="00B94693" w:rsidRPr="009155E8" w:rsidRDefault="00B94693" w:rsidP="00B94693">
            <w:pPr>
              <w:tabs>
                <w:tab w:val="left" w:pos="720"/>
              </w:tabs>
              <w:jc w:val="both"/>
              <w:rPr>
                <w:sz w:val="18"/>
              </w:rPr>
            </w:pPr>
          </w:p>
        </w:tc>
      </w:tr>
      <w:tr w:rsidR="00B94693" w:rsidTr="009155E8">
        <w:trPr>
          <w:jc w:val="center"/>
        </w:trPr>
        <w:tc>
          <w:tcPr>
            <w:tcW w:w="1869" w:type="dxa"/>
          </w:tcPr>
          <w:p w:rsidR="00B94693" w:rsidRPr="009155E8" w:rsidRDefault="00B94693" w:rsidP="00B94693">
            <w:pPr>
              <w:tabs>
                <w:tab w:val="left" w:pos="720"/>
              </w:tabs>
              <w:jc w:val="both"/>
              <w:rPr>
                <w:sz w:val="18"/>
              </w:rPr>
            </w:pPr>
            <w:r w:rsidRPr="009155E8">
              <w:rPr>
                <w:sz w:val="18"/>
              </w:rPr>
              <w:t>F = &lt; 60%</w:t>
            </w:r>
          </w:p>
        </w:tc>
        <w:tc>
          <w:tcPr>
            <w:tcW w:w="1844" w:type="dxa"/>
          </w:tcPr>
          <w:p w:rsidR="00B94693" w:rsidRPr="009155E8" w:rsidRDefault="00B94693" w:rsidP="00B94693">
            <w:pPr>
              <w:tabs>
                <w:tab w:val="left" w:pos="720"/>
              </w:tabs>
              <w:jc w:val="both"/>
              <w:rPr>
                <w:sz w:val="18"/>
              </w:rPr>
            </w:pPr>
          </w:p>
        </w:tc>
        <w:tc>
          <w:tcPr>
            <w:tcW w:w="1558" w:type="dxa"/>
          </w:tcPr>
          <w:p w:rsidR="00B94693" w:rsidRPr="009155E8" w:rsidRDefault="00B94693" w:rsidP="00B94693">
            <w:pPr>
              <w:tabs>
                <w:tab w:val="left" w:pos="720"/>
              </w:tabs>
              <w:jc w:val="both"/>
              <w:rPr>
                <w:sz w:val="18"/>
              </w:rPr>
            </w:pPr>
          </w:p>
        </w:tc>
      </w:tr>
    </w:tbl>
    <w:p w:rsidR="006D1535" w:rsidRPr="00F345EB" w:rsidRDefault="006D1535" w:rsidP="00F345EB">
      <w:pPr>
        <w:jc w:val="both"/>
      </w:pPr>
    </w:p>
    <w:p w:rsidR="00132A3F" w:rsidRDefault="00F345EB" w:rsidP="00F345EB">
      <w:pPr>
        <w:jc w:val="both"/>
      </w:pPr>
      <w:r w:rsidRPr="00F345EB">
        <w:rPr>
          <w:b/>
        </w:rPr>
        <w:t>Withdrawals:</w:t>
      </w:r>
    </w:p>
    <w:p w:rsidR="00336A47" w:rsidRDefault="00F345EB" w:rsidP="00132A3F">
      <w:pPr>
        <w:ind w:left="720"/>
        <w:jc w:val="both"/>
      </w:pPr>
      <w:r w:rsidRPr="00F345EB">
        <w:t>In order to drop CHEM 304, you must also drop CHEM 302.  Per Winthrop University policy, any student who wishes to withdraw from the course with a grade of “N” must do so before the Course Withdrawal Deadline (</w:t>
      </w:r>
      <w:r w:rsidR="00BD2EAF">
        <w:rPr>
          <w:b/>
          <w:i/>
        </w:rPr>
        <w:t>March</w:t>
      </w:r>
      <w:r w:rsidR="00805CF3">
        <w:rPr>
          <w:b/>
          <w:i/>
        </w:rPr>
        <w:t xml:space="preserve"> </w:t>
      </w:r>
      <w:r w:rsidR="00DC5F61">
        <w:rPr>
          <w:b/>
          <w:i/>
        </w:rPr>
        <w:t>21</w:t>
      </w:r>
      <w:r w:rsidR="00805CF3">
        <w:rPr>
          <w:b/>
          <w:i/>
        </w:rPr>
        <w:t>)</w:t>
      </w:r>
      <w:r w:rsidR="001F5382">
        <w:t>.</w:t>
      </w:r>
    </w:p>
    <w:p w:rsidR="00805CF3" w:rsidRPr="00F345EB" w:rsidRDefault="00805CF3" w:rsidP="00F345EB">
      <w:pPr>
        <w:jc w:val="both"/>
        <w:rPr>
          <w:bCs/>
          <w:color w:val="000000"/>
        </w:rPr>
      </w:pPr>
    </w:p>
    <w:p w:rsidR="00D7238F" w:rsidRDefault="00F345EB" w:rsidP="00F345EB">
      <w:pPr>
        <w:jc w:val="both"/>
        <w:rPr>
          <w:b/>
        </w:rPr>
      </w:pPr>
      <w:r w:rsidRPr="00F345EB">
        <w:rPr>
          <w:b/>
        </w:rPr>
        <w:t>Changes to Syllabus</w:t>
      </w:r>
      <w:r w:rsidR="00D7238F">
        <w:rPr>
          <w:b/>
        </w:rPr>
        <w:t>:</w:t>
      </w:r>
    </w:p>
    <w:p w:rsidR="006F6559" w:rsidRPr="00723BA3" w:rsidRDefault="00D7238F" w:rsidP="00723BA3">
      <w:pPr>
        <w:pStyle w:val="NormalWeb"/>
        <w:tabs>
          <w:tab w:val="num" w:pos="1260"/>
        </w:tabs>
        <w:spacing w:before="2" w:after="2"/>
        <w:ind w:left="720"/>
        <w:rPr>
          <w:rFonts w:ascii="Times New Roman" w:hAnsi="Times New Roman"/>
          <w:sz w:val="24"/>
          <w:szCs w:val="24"/>
        </w:rPr>
      </w:pPr>
      <w:r>
        <w:rPr>
          <w:rFonts w:ascii="Times New Roman" w:hAnsi="Times New Roman"/>
          <w:sz w:val="24"/>
          <w:szCs w:val="24"/>
        </w:rPr>
        <w:t>We</w:t>
      </w:r>
      <w:r w:rsidRPr="00392851">
        <w:rPr>
          <w:rFonts w:ascii="Times New Roman" w:hAnsi="Times New Roman"/>
          <w:sz w:val="24"/>
          <w:szCs w:val="24"/>
        </w:rPr>
        <w:t xml:space="preserve"> reserve the right to update and edit this syllabus as necessary, including assignments, the calendar, and policies. You will be notified i</w:t>
      </w:r>
      <w:r>
        <w:rPr>
          <w:rFonts w:ascii="Times New Roman" w:hAnsi="Times New Roman"/>
          <w:sz w:val="24"/>
          <w:szCs w:val="24"/>
        </w:rPr>
        <w:t>mmediately of any such changes.</w:t>
      </w:r>
    </w:p>
    <w:p w:rsidR="00280458" w:rsidRDefault="00280458" w:rsidP="00F96A64">
      <w:pPr>
        <w:pStyle w:val="NormalWeb"/>
        <w:tabs>
          <w:tab w:val="num" w:pos="1260"/>
        </w:tabs>
        <w:spacing w:before="2" w:after="2"/>
        <w:rPr>
          <w:rFonts w:ascii="Times New Roman" w:hAnsi="Times New Roman"/>
          <w:sz w:val="24"/>
          <w:szCs w:val="24"/>
        </w:rPr>
      </w:pPr>
    </w:p>
    <w:p w:rsidR="00280458" w:rsidRPr="00AA11BF" w:rsidRDefault="00280458" w:rsidP="00280458">
      <w:pPr>
        <w:pStyle w:val="NormalWeb"/>
        <w:spacing w:before="2" w:after="2"/>
        <w:rPr>
          <w:rFonts w:ascii="Times New Roman" w:hAnsi="Times New Roman"/>
        </w:rPr>
      </w:pPr>
      <w:r w:rsidRPr="00AA11BF">
        <w:rPr>
          <w:rFonts w:ascii="Times New Roman" w:hAnsi="Times New Roman"/>
          <w:b/>
          <w:bCs/>
          <w:sz w:val="24"/>
          <w:szCs w:val="24"/>
        </w:rPr>
        <w:t>Accessibility:</w:t>
      </w:r>
    </w:p>
    <w:p w:rsidR="00280458" w:rsidRPr="004C6105" w:rsidRDefault="00280458" w:rsidP="004C6105">
      <w:pPr>
        <w:pStyle w:val="NormalWeb"/>
        <w:spacing w:before="2" w:afterLines="50" w:after="120"/>
        <w:ind w:left="720"/>
        <w:rPr>
          <w:rFonts w:ascii="Times New Roman" w:hAnsi="Times New Roman"/>
          <w:i/>
          <w:iCs/>
          <w:sz w:val="22"/>
          <w:szCs w:val="24"/>
          <w:shd w:val="clear" w:color="auto" w:fill="FFFFFF"/>
        </w:rPr>
      </w:pPr>
      <w:r w:rsidRPr="009155E8">
        <w:rPr>
          <w:rFonts w:ascii="Times New Roman" w:hAnsi="Times New Roman"/>
          <w:i/>
          <w:iCs/>
          <w:sz w:val="22"/>
          <w:szCs w:val="24"/>
        </w:rPr>
        <w:t xml:space="preserve">“Winthrop University is committed to providing accessible learning experiences and equal access to education for all students. </w:t>
      </w:r>
      <w:r w:rsidRPr="009155E8">
        <w:rPr>
          <w:rFonts w:ascii="Times New Roman" w:hAnsi="Times New Roman"/>
          <w:i/>
          <w:iCs/>
          <w:sz w:val="22"/>
          <w:szCs w:val="24"/>
          <w:shd w:val="clear" w:color="auto" w:fill="FFFFFF"/>
        </w:rPr>
        <w:t>The syllabus is available in alternate formats upon request.”</w:t>
      </w:r>
    </w:p>
    <w:p w:rsidR="00280458" w:rsidRPr="009155E8" w:rsidRDefault="00280458" w:rsidP="00280458">
      <w:pPr>
        <w:pStyle w:val="NormalWeb"/>
        <w:spacing w:before="2" w:after="2"/>
        <w:ind w:left="720"/>
        <w:rPr>
          <w:rFonts w:ascii="Times New Roman" w:hAnsi="Times New Roman"/>
          <w:i/>
          <w:iCs/>
          <w:sz w:val="22"/>
          <w:szCs w:val="24"/>
        </w:rPr>
      </w:pPr>
      <w:r w:rsidRPr="009155E8">
        <w:rPr>
          <w:rFonts w:ascii="Times New Roman" w:hAnsi="Times New Roman"/>
          <w:i/>
          <w:iCs/>
          <w:sz w:val="22"/>
          <w:szCs w:val="24"/>
        </w:rPr>
        <w:t>“If you are a student with a disability (including mental health concerns, chronic or temporary medical conditions, learning disabilities, etc.) and you anticipate or experience academic barriers due to the condition, please contact The Office of Accessibility (OA) for information on accommodations, registration, and procedures. After receiving approval for accommodations through OA, please make arrangements with me as soon as possible to discuss your accommodations so that they may be implemented in a timely manner.”</w:t>
      </w:r>
    </w:p>
    <w:p w:rsidR="00280458" w:rsidRDefault="00280458" w:rsidP="00280458">
      <w:pPr>
        <w:pStyle w:val="NormalWeb"/>
        <w:spacing w:before="2" w:after="2"/>
        <w:ind w:left="720"/>
      </w:pPr>
    </w:p>
    <w:p w:rsidR="00280458" w:rsidRDefault="00280458" w:rsidP="00280458">
      <w:pPr>
        <w:pStyle w:val="NormalWeb"/>
        <w:spacing w:before="2" w:after="2"/>
        <w:ind w:left="2880" w:firstLine="720"/>
      </w:pPr>
      <w:r>
        <w:rPr>
          <w:rFonts w:ascii="TimesNewRomanPS" w:hAnsi="TimesNewRomanPS"/>
          <w:b/>
          <w:bCs/>
        </w:rPr>
        <w:t>OA contact information:</w:t>
      </w:r>
    </w:p>
    <w:p w:rsidR="00280458" w:rsidRDefault="00280458" w:rsidP="00280458">
      <w:pPr>
        <w:pStyle w:val="NormalWeb"/>
        <w:spacing w:before="2" w:after="2"/>
        <w:ind w:left="2880" w:firstLine="720"/>
        <w:rPr>
          <w:rFonts w:ascii="Times New Roman" w:hAnsi="Times New Roman"/>
          <w:color w:val="0000FF"/>
        </w:rPr>
      </w:pPr>
      <w:r>
        <w:rPr>
          <w:rFonts w:ascii="Times New Roman" w:hAnsi="Times New Roman"/>
        </w:rPr>
        <w:t xml:space="preserve">Email: </w:t>
      </w:r>
      <w:hyperlink r:id="rId11" w:history="1">
        <w:r w:rsidRPr="00B36D1E">
          <w:rPr>
            <w:rStyle w:val="Hyperlink"/>
            <w:rFonts w:ascii="Times New Roman" w:hAnsi="Times New Roman"/>
          </w:rPr>
          <w:t>accessibility@winthrop.edu</w:t>
        </w:r>
      </w:hyperlink>
    </w:p>
    <w:p w:rsidR="00280458" w:rsidRDefault="00280458" w:rsidP="00280458">
      <w:pPr>
        <w:pStyle w:val="NormalWeb"/>
        <w:spacing w:before="2" w:after="2"/>
        <w:ind w:left="3600"/>
        <w:rPr>
          <w:rFonts w:ascii="Times New Roman" w:hAnsi="Times New Roman"/>
        </w:rPr>
      </w:pPr>
      <w:r>
        <w:rPr>
          <w:rFonts w:ascii="Times New Roman" w:hAnsi="Times New Roman"/>
        </w:rPr>
        <w:t>Phone: 803-323-3290</w:t>
      </w:r>
      <w:r>
        <w:rPr>
          <w:rFonts w:ascii="Times New Roman" w:hAnsi="Times New Roman"/>
        </w:rPr>
        <w:br/>
        <w:t>Office: 307 Bancroft Hall Annex</w:t>
      </w:r>
    </w:p>
    <w:p w:rsidR="00461262" w:rsidRPr="00F2286F" w:rsidRDefault="00461262" w:rsidP="00461262">
      <w:pPr>
        <w:tabs>
          <w:tab w:val="left" w:pos="851"/>
        </w:tabs>
        <w:jc w:val="both"/>
        <w:rPr>
          <w:b/>
          <w:bCs/>
          <w:szCs w:val="22"/>
        </w:rPr>
      </w:pPr>
      <w:r w:rsidRPr="00F2286F">
        <w:rPr>
          <w:b/>
          <w:bCs/>
          <w:szCs w:val="22"/>
        </w:rPr>
        <w:lastRenderedPageBreak/>
        <w:t>General Lab Order:</w:t>
      </w:r>
    </w:p>
    <w:p w:rsidR="0033605A" w:rsidRPr="0033605A" w:rsidRDefault="00461262" w:rsidP="0033605A">
      <w:pPr>
        <w:pStyle w:val="BodyText"/>
        <w:numPr>
          <w:ilvl w:val="0"/>
          <w:numId w:val="13"/>
        </w:numPr>
        <w:rPr>
          <w:b/>
          <w:bCs/>
          <w:u w:val="single"/>
        </w:rPr>
      </w:pPr>
      <w:r w:rsidRPr="00F2286F">
        <w:rPr>
          <w:b/>
          <w:bCs/>
          <w:u w:val="single"/>
        </w:rPr>
        <w:t>Only dispose of waste in containers labeled for waste collection</w:t>
      </w:r>
      <w:r w:rsidRPr="00F2286F">
        <w:t xml:space="preserve"> Do not put any chemical waste in the trash, down the drain or in any container not labeled as waste.</w:t>
      </w:r>
    </w:p>
    <w:p w:rsidR="0033605A" w:rsidRPr="0033605A" w:rsidRDefault="00461262" w:rsidP="0033605A">
      <w:pPr>
        <w:pStyle w:val="BodyText"/>
        <w:numPr>
          <w:ilvl w:val="0"/>
          <w:numId w:val="13"/>
        </w:numPr>
        <w:rPr>
          <w:b/>
          <w:bCs/>
          <w:u w:val="single"/>
        </w:rPr>
      </w:pPr>
      <w:r w:rsidRPr="0033605A">
        <w:rPr>
          <w:b/>
          <w:bCs/>
        </w:rPr>
        <w:t xml:space="preserve">Replace lids on all containers immediately after use. </w:t>
      </w:r>
      <w:r w:rsidRPr="0033605A">
        <w:t>Open containers increase everyone's exposure to the substances within them. Spills are also more likely when a container is open. Some reagents can also be ruined by excessive exposure to air.</w:t>
      </w:r>
    </w:p>
    <w:p w:rsidR="0033605A" w:rsidRPr="0033605A" w:rsidRDefault="00461262" w:rsidP="0033605A">
      <w:pPr>
        <w:pStyle w:val="BodyText"/>
        <w:numPr>
          <w:ilvl w:val="0"/>
          <w:numId w:val="13"/>
        </w:numPr>
        <w:rPr>
          <w:b/>
          <w:bCs/>
          <w:u w:val="single"/>
        </w:rPr>
      </w:pPr>
      <w:r w:rsidRPr="0033605A">
        <w:t>Clean your glassware after each experiment.</w:t>
      </w:r>
    </w:p>
    <w:p w:rsidR="0033605A" w:rsidRPr="0033605A" w:rsidRDefault="00461262" w:rsidP="0033605A">
      <w:pPr>
        <w:pStyle w:val="BodyText"/>
        <w:numPr>
          <w:ilvl w:val="0"/>
          <w:numId w:val="13"/>
        </w:numPr>
        <w:rPr>
          <w:b/>
          <w:bCs/>
          <w:u w:val="single"/>
        </w:rPr>
      </w:pPr>
      <w:r w:rsidRPr="0033605A">
        <w:t>Clean up any spills you create. If you don’t know how a spill should be cleaned up, ask.</w:t>
      </w:r>
    </w:p>
    <w:p w:rsidR="0033605A" w:rsidRPr="0033605A" w:rsidRDefault="00461262" w:rsidP="0033605A">
      <w:pPr>
        <w:pStyle w:val="BodyText"/>
        <w:numPr>
          <w:ilvl w:val="0"/>
          <w:numId w:val="13"/>
        </w:numPr>
        <w:rPr>
          <w:b/>
          <w:bCs/>
          <w:u w:val="single"/>
        </w:rPr>
      </w:pPr>
      <w:r w:rsidRPr="0033605A">
        <w:t>Put things back where you found them (equipment and anything non-disposable).</w:t>
      </w:r>
    </w:p>
    <w:p w:rsidR="0033605A" w:rsidRPr="0033605A" w:rsidRDefault="00461262" w:rsidP="0033605A">
      <w:pPr>
        <w:pStyle w:val="BodyText"/>
        <w:numPr>
          <w:ilvl w:val="0"/>
          <w:numId w:val="13"/>
        </w:numPr>
        <w:rPr>
          <w:b/>
          <w:bCs/>
          <w:u w:val="single"/>
        </w:rPr>
      </w:pPr>
      <w:r w:rsidRPr="0033605A">
        <w:t>Dispose of broken glass</w:t>
      </w:r>
      <w:r w:rsidR="00F6394E">
        <w:t xml:space="preserve"> and</w:t>
      </w:r>
      <w:r w:rsidRPr="0033605A">
        <w:t xml:space="preserve"> used </w:t>
      </w:r>
      <w:r w:rsidR="00F6394E">
        <w:t xml:space="preserve">Pasteur </w:t>
      </w:r>
      <w:r w:rsidRPr="0033605A">
        <w:t>pipets in the white broken glass containers.</w:t>
      </w:r>
    </w:p>
    <w:p w:rsidR="00461262" w:rsidRPr="0033605A" w:rsidRDefault="00461262" w:rsidP="0033605A">
      <w:pPr>
        <w:pStyle w:val="BodyText"/>
        <w:numPr>
          <w:ilvl w:val="0"/>
          <w:numId w:val="13"/>
        </w:numPr>
        <w:rPr>
          <w:b/>
          <w:bCs/>
          <w:u w:val="single"/>
        </w:rPr>
      </w:pPr>
      <w:r w:rsidRPr="0033605A">
        <w:t>Leave your lab station clean and organized</w:t>
      </w:r>
      <w:r w:rsidR="00C55BB1" w:rsidRPr="0033605A">
        <w:t>.</w:t>
      </w:r>
    </w:p>
    <w:p w:rsidR="00461262" w:rsidRPr="00F2286F" w:rsidRDefault="00461262" w:rsidP="00461262">
      <w:pPr>
        <w:tabs>
          <w:tab w:val="left" w:pos="1080"/>
          <w:tab w:val="right" w:pos="5040"/>
        </w:tabs>
        <w:ind w:hanging="900"/>
        <w:jc w:val="both"/>
        <w:rPr>
          <w:b/>
          <w:bCs/>
          <w:szCs w:val="22"/>
        </w:rPr>
      </w:pPr>
    </w:p>
    <w:p w:rsidR="00461262" w:rsidRPr="00F2286F" w:rsidRDefault="00461262" w:rsidP="00461262">
      <w:pPr>
        <w:pStyle w:val="BodyText"/>
        <w:tabs>
          <w:tab w:val="left" w:pos="567"/>
          <w:tab w:val="num" w:pos="1800"/>
        </w:tabs>
        <w:jc w:val="both"/>
        <w:rPr>
          <w:b/>
          <w:bCs/>
          <w:szCs w:val="22"/>
        </w:rPr>
      </w:pPr>
      <w:r w:rsidRPr="00F2286F">
        <w:rPr>
          <w:b/>
          <w:bCs/>
          <w:szCs w:val="22"/>
        </w:rPr>
        <w:t>Lab Safety:</w:t>
      </w:r>
    </w:p>
    <w:p w:rsidR="00461262" w:rsidRPr="00F2286F" w:rsidRDefault="00461262" w:rsidP="0033605A">
      <w:pPr>
        <w:pStyle w:val="BodyText"/>
        <w:numPr>
          <w:ilvl w:val="0"/>
          <w:numId w:val="14"/>
        </w:numPr>
        <w:rPr>
          <w:u w:val="single"/>
        </w:rPr>
      </w:pPr>
      <w:r w:rsidRPr="00F2286F">
        <w:rPr>
          <w:b/>
          <w:bCs/>
        </w:rPr>
        <w:t xml:space="preserve">SAFETY GOGGLES ARE MANDATORY ANY TIME YOU ARE IN THE LAB.  </w:t>
      </w:r>
      <w:r w:rsidRPr="00F2286F">
        <w:t xml:space="preserve">Even if you are simply recording data, safety glasses must be worn. </w:t>
      </w:r>
      <w:r w:rsidRPr="00F2286F">
        <w:rPr>
          <w:u w:val="single"/>
        </w:rPr>
        <w:t>If you are found not wearing safety glasses, you will be asked to leave and will receive a zero for the experiment.</w:t>
      </w:r>
    </w:p>
    <w:p w:rsidR="00461262" w:rsidRPr="00F2286F" w:rsidRDefault="00461262" w:rsidP="0033605A">
      <w:pPr>
        <w:pStyle w:val="BodyText"/>
        <w:numPr>
          <w:ilvl w:val="0"/>
          <w:numId w:val="14"/>
        </w:numPr>
      </w:pPr>
      <w:r w:rsidRPr="00F2286F">
        <w:t>Wear sensible clothing</w:t>
      </w:r>
      <w:r w:rsidRPr="00F2286F">
        <w:rPr>
          <w:b/>
          <w:bCs/>
        </w:rPr>
        <w:t xml:space="preserve">. </w:t>
      </w:r>
      <w:r w:rsidRPr="00F2286F">
        <w:t xml:space="preserve">Shoes and shirts are required. Long hair </w:t>
      </w:r>
      <w:r w:rsidR="000B0F62" w:rsidRPr="00F2286F">
        <w:t>should be</w:t>
      </w:r>
      <w:r w:rsidRPr="00F2286F">
        <w:t xml:space="preserve"> pulled back. </w:t>
      </w:r>
      <w:r w:rsidR="002A0074" w:rsidRPr="00F2286F">
        <w:t>Open-toed shoes</w:t>
      </w:r>
      <w:r w:rsidRPr="00F2286F">
        <w:t xml:space="preserve"> and high heels are prohibited. </w:t>
      </w:r>
      <w:r w:rsidR="000B0F62" w:rsidRPr="00F2286F">
        <w:t>Spills are common; i</w:t>
      </w:r>
      <w:r w:rsidRPr="00F2286F">
        <w:t>t is best not to wear</w:t>
      </w:r>
      <w:r w:rsidR="000B0F62" w:rsidRPr="00F2286F">
        <w:t xml:space="preserve"> your good clothes into the lab.</w:t>
      </w:r>
      <w:r w:rsidRPr="00F2286F">
        <w:t xml:space="preserve"> Use of a lab coat or lab apron is re</w:t>
      </w:r>
      <w:r w:rsidR="002A0074" w:rsidRPr="00F2286F">
        <w:t>quired</w:t>
      </w:r>
      <w:r w:rsidRPr="00F2286F">
        <w:t>.</w:t>
      </w:r>
    </w:p>
    <w:p w:rsidR="00461262" w:rsidRPr="00F2286F" w:rsidRDefault="00461262" w:rsidP="0033605A">
      <w:pPr>
        <w:pStyle w:val="BodyText"/>
        <w:numPr>
          <w:ilvl w:val="0"/>
          <w:numId w:val="14"/>
        </w:numPr>
      </w:pPr>
      <w:r w:rsidRPr="00F2286F">
        <w:t>Eating, drinking and smoking are prohibited in the labs.</w:t>
      </w:r>
    </w:p>
    <w:p w:rsidR="00461262" w:rsidRPr="00F2286F" w:rsidRDefault="00461262" w:rsidP="0033605A">
      <w:pPr>
        <w:pStyle w:val="BodyText"/>
        <w:numPr>
          <w:ilvl w:val="0"/>
          <w:numId w:val="14"/>
        </w:numPr>
      </w:pPr>
      <w:r w:rsidRPr="00F2286F">
        <w:t>Report any spills, cuts, burns</w:t>
      </w:r>
      <w:r w:rsidR="00F6394E">
        <w:t>,</w:t>
      </w:r>
      <w:r w:rsidRPr="00F2286F">
        <w:t xml:space="preserve"> or breakage of glassware immediately. Accidents happen and they will not affect your grade.</w:t>
      </w:r>
    </w:p>
    <w:p w:rsidR="00461262" w:rsidRPr="00F2286F" w:rsidRDefault="00461262" w:rsidP="0033605A">
      <w:pPr>
        <w:pStyle w:val="BodyText"/>
        <w:numPr>
          <w:ilvl w:val="0"/>
          <w:numId w:val="14"/>
        </w:numPr>
      </w:pPr>
      <w:r w:rsidRPr="00F2286F">
        <w:t>Report any malfunctioning equipment (Mel Temps, hot plates, etc.).</w:t>
      </w:r>
    </w:p>
    <w:p w:rsidR="00461262" w:rsidRPr="00F2286F" w:rsidRDefault="00461262" w:rsidP="0033605A">
      <w:pPr>
        <w:pStyle w:val="BodyText"/>
        <w:numPr>
          <w:ilvl w:val="0"/>
          <w:numId w:val="14"/>
        </w:numPr>
      </w:pPr>
      <w:r w:rsidRPr="00F2286F">
        <w:t>Particularly noxious substances should be handled in a fume hood. Make certain the sash is lowered to a safe level, as shown on the side of the hood.</w:t>
      </w:r>
    </w:p>
    <w:p w:rsidR="00461262" w:rsidRPr="00F2286F" w:rsidRDefault="00461262" w:rsidP="0033605A">
      <w:pPr>
        <w:pStyle w:val="BodyText"/>
        <w:numPr>
          <w:ilvl w:val="0"/>
          <w:numId w:val="14"/>
        </w:numPr>
      </w:pPr>
      <w:r w:rsidRPr="00F2286F">
        <w:t>A safety sho</w:t>
      </w:r>
      <w:r w:rsidR="000B0F62" w:rsidRPr="00F2286F">
        <w:t xml:space="preserve">wer is located in each laboratory </w:t>
      </w:r>
      <w:r w:rsidRPr="00F2286F">
        <w:t xml:space="preserve">in </w:t>
      </w:r>
      <w:r w:rsidR="000B0F62" w:rsidRPr="00F2286F">
        <w:t>case</w:t>
      </w:r>
      <w:r w:rsidRPr="00F2286F">
        <w:t xml:space="preserve"> of a major spill of a hazardous chemical on yourself.</w:t>
      </w:r>
    </w:p>
    <w:p w:rsidR="00461262" w:rsidRPr="00F2286F" w:rsidRDefault="00461262" w:rsidP="0033605A">
      <w:pPr>
        <w:pStyle w:val="BodyText"/>
        <w:numPr>
          <w:ilvl w:val="0"/>
          <w:numId w:val="14"/>
        </w:numPr>
      </w:pPr>
      <w:r w:rsidRPr="00F2286F">
        <w:t>Each laboratory has an eyewash station to be used if a chemical has come in contact with your eyes. Just place your face between the two fountains and press the lever to activate the water. Try to keep your eyes open as best you can, as this flushes them much more effectively.</w:t>
      </w:r>
    </w:p>
    <w:p w:rsidR="00461262" w:rsidRDefault="00461262" w:rsidP="0033605A">
      <w:pPr>
        <w:pStyle w:val="BodyText"/>
        <w:numPr>
          <w:ilvl w:val="0"/>
          <w:numId w:val="14"/>
        </w:numPr>
      </w:pPr>
      <w:r w:rsidRPr="00F2286F">
        <w:t>Disposable gloves can be found on the shelves of each laboratory. Wear gloves when dealing with any hazardous chemical. You may even want to wear gloves at all times in the laboratory. If you get a hazardous chemical on your gloves, take them off within a few minutes, wash your hands and put on a fresh pair. Gloves are not impervious; they simply prevent immediate exposure.</w:t>
      </w:r>
    </w:p>
    <w:p w:rsidR="00A42F67" w:rsidRDefault="00A42F67" w:rsidP="00A42F67">
      <w:pPr>
        <w:pStyle w:val="BodyText"/>
      </w:pPr>
    </w:p>
    <w:p w:rsidR="00A42F67" w:rsidRDefault="00A42F67" w:rsidP="00A42F67">
      <w:pPr>
        <w:pStyle w:val="BodyText"/>
      </w:pPr>
    </w:p>
    <w:p w:rsidR="00A42F67" w:rsidRDefault="00A42F67" w:rsidP="00A42F67">
      <w:pPr>
        <w:pStyle w:val="BodyText"/>
      </w:pPr>
    </w:p>
    <w:p w:rsidR="00A42F67" w:rsidRDefault="00A42F67" w:rsidP="00A42F67">
      <w:pPr>
        <w:pStyle w:val="BodyText"/>
      </w:pPr>
    </w:p>
    <w:p w:rsidR="00A42F67" w:rsidRPr="00DD27D0" w:rsidRDefault="00A42F67" w:rsidP="00A42F67">
      <w:pPr>
        <w:ind w:left="720" w:hanging="720"/>
        <w:jc w:val="center"/>
        <w:rPr>
          <w:b/>
          <w:u w:val="single"/>
        </w:rPr>
      </w:pPr>
      <w:r w:rsidRPr="00DD27D0">
        <w:rPr>
          <w:b/>
          <w:u w:val="single"/>
        </w:rPr>
        <w:lastRenderedPageBreak/>
        <w:t>Addendum</w:t>
      </w:r>
    </w:p>
    <w:p w:rsidR="00A42F67" w:rsidRPr="00DD27D0" w:rsidRDefault="00A42F67" w:rsidP="00A42F67">
      <w:pPr>
        <w:ind w:left="720" w:hanging="720"/>
        <w:jc w:val="both"/>
      </w:pPr>
    </w:p>
    <w:p w:rsidR="003B2AB1" w:rsidRPr="003F774B" w:rsidRDefault="003B2AB1" w:rsidP="003B2AB1">
      <w:pPr>
        <w:jc w:val="both"/>
        <w:rPr>
          <w:color w:val="000000"/>
          <w:sz w:val="20"/>
          <w:szCs w:val="20"/>
        </w:rPr>
      </w:pPr>
      <w:r w:rsidRPr="003F774B">
        <w:rPr>
          <w:b/>
          <w:bCs/>
          <w:color w:val="000000"/>
          <w:sz w:val="20"/>
          <w:szCs w:val="20"/>
        </w:rPr>
        <w:t>Winthrop COVID-19 Statement:</w:t>
      </w:r>
      <w:bookmarkStart w:id="0" w:name="_GoBack"/>
      <w:bookmarkEnd w:id="0"/>
    </w:p>
    <w:p w:rsidR="00B972BA" w:rsidRPr="00B972BA" w:rsidRDefault="00B972BA" w:rsidP="00B972BA">
      <w:pPr>
        <w:autoSpaceDE w:val="0"/>
        <w:autoSpaceDN w:val="0"/>
        <w:adjustRightInd w:val="0"/>
        <w:rPr>
          <w:color w:val="262626"/>
          <w:sz w:val="20"/>
          <w:szCs w:val="21"/>
          <w:shd w:val="clear" w:color="auto" w:fill="F8F8F8"/>
        </w:rPr>
      </w:pPr>
      <w:r w:rsidRPr="00B972BA">
        <w:rPr>
          <w:color w:val="262626"/>
          <w:sz w:val="20"/>
          <w:szCs w:val="21"/>
          <w:shd w:val="clear" w:color="auto" w:fill="F8F8F8"/>
        </w:rPr>
        <w:t xml:space="preserve">The health and safety of the campus community is Winthrop’s top priority. As socially responsible members of this community, everyone is expected to engage in daily health self- monitoring and to stay home (residence hall or off-campus housing) from on-campus class, work, or activities if they begin experiencing any COVID-related symptoms. Please do not attend class if you have a fever or any signs of the COVID virus, do not attend class if your roommate or someone you have close contact with acquires the virus, and be respectful of others’ desire to remain COVID-free. Masking on campus remains optional but strongly encouraged, especially in indoor settings around others. Use the Patient Portal COVID-19 form to report illness or exposure and upload the positive test, if relevant. Students who violate WU guidelines will be asked to comply. Continued failure to comply may result in referral to the Dean of Students Office as a student conduct violation. </w:t>
      </w:r>
    </w:p>
    <w:p w:rsidR="003B2AB1" w:rsidRPr="003F774B" w:rsidRDefault="003B2AB1" w:rsidP="003B2AB1">
      <w:pPr>
        <w:autoSpaceDE w:val="0"/>
        <w:autoSpaceDN w:val="0"/>
        <w:adjustRightInd w:val="0"/>
        <w:rPr>
          <w:rFonts w:eastAsia="Times"/>
          <w:color w:val="000000"/>
          <w:sz w:val="20"/>
          <w:szCs w:val="20"/>
        </w:rPr>
      </w:pPr>
    </w:p>
    <w:p w:rsidR="003B2AB1" w:rsidRPr="003F774B" w:rsidRDefault="003B2AB1" w:rsidP="003B2AB1">
      <w:pPr>
        <w:jc w:val="both"/>
        <w:rPr>
          <w:b/>
          <w:bCs/>
          <w:color w:val="000000"/>
          <w:sz w:val="20"/>
          <w:szCs w:val="20"/>
        </w:rPr>
      </w:pPr>
      <w:r w:rsidRPr="003F774B">
        <w:rPr>
          <w:b/>
          <w:bCs/>
          <w:color w:val="000000"/>
          <w:sz w:val="20"/>
          <w:szCs w:val="20"/>
        </w:rPr>
        <w:t>Winthrop Policy on COVID-Related Absence:</w:t>
      </w:r>
    </w:p>
    <w:p w:rsidR="00B972BA" w:rsidRPr="00B972BA" w:rsidRDefault="00B972BA" w:rsidP="00E94305">
      <w:pPr>
        <w:rPr>
          <w:sz w:val="20"/>
          <w:szCs w:val="20"/>
        </w:rPr>
      </w:pPr>
      <w:r w:rsidRPr="00B972BA">
        <w:rPr>
          <w:sz w:val="20"/>
          <w:szCs w:val="20"/>
        </w:rPr>
        <w:t xml:space="preserve">Students should contact Health Services regarding a positive test, close contact, or enhanced COVID-like symptoms. Any student who has either tested positive, has COVID-like symptoms, or has close contact with someone who has COVID, must contact Health Services. Students should log in to the Patient Portal to complete a C19 form and upload the positive test, if relevant. Health Services will communicate with the student on what steps to take next, and if need be, the Dean of Students Office will receive absence verification for required isolation and quarantine. Students who verify their absences through the Dean of Students Office often minimize any academic impact caused by missed class time. Students retain a responsibility to communicate with instructors regarding missed work, and complete assignments in a timely manner as they are able. Regular communication with faculty is expected so that student progress in the course is not negatively impacted. Health Services will only provide dates of absence, not medical information. Please note, residential students who test positive must follow their personal COVID Quarantine and Isolation Plan. </w:t>
      </w:r>
    </w:p>
    <w:sectPr w:rsidR="00B972BA" w:rsidRPr="00B972BA" w:rsidSect="00F96A64">
      <w:headerReference w:type="first" r:id="rId12"/>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43D0" w:rsidRDefault="00C143D0" w:rsidP="00B70D75">
      <w:r>
        <w:separator/>
      </w:r>
    </w:p>
  </w:endnote>
  <w:endnote w:type="continuationSeparator" w:id="0">
    <w:p w:rsidR="00C143D0" w:rsidRDefault="00C143D0" w:rsidP="00B70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TimesNewRomanPS">
    <w:altName w:val="Arial"/>
    <w:panose1 w:val="020B0604020202020204"/>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43D0" w:rsidRDefault="00C143D0" w:rsidP="00B70D75">
      <w:r>
        <w:separator/>
      </w:r>
    </w:p>
  </w:footnote>
  <w:footnote w:type="continuationSeparator" w:id="0">
    <w:p w:rsidR="00C143D0" w:rsidRDefault="00C143D0" w:rsidP="00B70D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06EA" w:rsidRPr="00B52997" w:rsidRDefault="003F06EA" w:rsidP="00534D89">
    <w:pPr>
      <w:jc w:val="center"/>
      <w:rPr>
        <w:b/>
        <w:sz w:val="36"/>
        <w:szCs w:val="32"/>
      </w:rPr>
    </w:pPr>
    <w:r w:rsidRPr="00B52997">
      <w:rPr>
        <w:b/>
        <w:sz w:val="36"/>
        <w:szCs w:val="32"/>
      </w:rPr>
      <w:t>Chemistry 304</w:t>
    </w:r>
  </w:p>
  <w:p w:rsidR="003F06EA" w:rsidRPr="00A34677" w:rsidRDefault="003F06EA" w:rsidP="00534D89">
    <w:pPr>
      <w:jc w:val="center"/>
      <w:rPr>
        <w:b/>
        <w:szCs w:val="32"/>
      </w:rPr>
    </w:pPr>
    <w:r w:rsidRPr="00A34677">
      <w:rPr>
        <w:b/>
        <w:szCs w:val="32"/>
      </w:rPr>
      <w:t>Organic Chemistry Laboratory</w:t>
    </w:r>
  </w:p>
  <w:p w:rsidR="003F06EA" w:rsidRPr="009A77C8" w:rsidRDefault="003F06EA" w:rsidP="00534D89">
    <w:pPr>
      <w:jc w:val="center"/>
      <w:rPr>
        <w:b/>
        <w:sz w:val="20"/>
        <w:szCs w:val="22"/>
      </w:rPr>
    </w:pPr>
    <w:r w:rsidRPr="009A77C8">
      <w:rPr>
        <w:b/>
        <w:sz w:val="20"/>
        <w:szCs w:val="22"/>
      </w:rPr>
      <w:t>(Sections 0</w:t>
    </w:r>
    <w:r w:rsidR="00BD2EAF">
      <w:rPr>
        <w:b/>
        <w:sz w:val="20"/>
        <w:szCs w:val="22"/>
      </w:rPr>
      <w:t>1</w:t>
    </w:r>
    <w:r w:rsidRPr="009A77C8">
      <w:rPr>
        <w:b/>
        <w:sz w:val="20"/>
        <w:szCs w:val="22"/>
      </w:rPr>
      <w:t>-0</w:t>
    </w:r>
    <w:r w:rsidR="00517460">
      <w:rPr>
        <w:b/>
        <w:sz w:val="20"/>
        <w:szCs w:val="22"/>
      </w:rPr>
      <w:t>2</w:t>
    </w:r>
    <w:r w:rsidRPr="009A77C8">
      <w:rPr>
        <w:b/>
        <w:sz w:val="20"/>
        <w:szCs w:val="22"/>
      </w:rPr>
      <w:t>)</w:t>
    </w:r>
  </w:p>
  <w:p w:rsidR="003F06EA" w:rsidRPr="00B52997" w:rsidRDefault="00BD2EAF" w:rsidP="00534D89">
    <w:pPr>
      <w:jc w:val="center"/>
      <w:rPr>
        <w:b/>
        <w:szCs w:val="28"/>
      </w:rPr>
    </w:pPr>
    <w:r>
      <w:rPr>
        <w:b/>
        <w:szCs w:val="28"/>
      </w:rPr>
      <w:t>Spring</w:t>
    </w:r>
    <w:r w:rsidR="003F06EA" w:rsidRPr="00B52997">
      <w:rPr>
        <w:b/>
        <w:szCs w:val="28"/>
      </w:rPr>
      <w:t xml:space="preserve"> 202</w:t>
    </w:r>
    <w:r w:rsidR="00AD299D">
      <w:rPr>
        <w:b/>
        <w:szCs w:val="28"/>
      </w:rPr>
      <w:t>3</w:t>
    </w:r>
  </w:p>
  <w:p w:rsidR="003F06EA" w:rsidRPr="00534D89" w:rsidRDefault="003F06EA" w:rsidP="00534D89">
    <w:pPr>
      <w:jc w:val="center"/>
      <w:rPr>
        <w:b/>
        <w:szCs w:val="28"/>
      </w:rPr>
    </w:pPr>
    <w:r w:rsidRPr="00B52997">
      <w:rPr>
        <w:b/>
        <w:szCs w:val="28"/>
      </w:rPr>
      <w:t>2:00 – 5:45 p.m.  W/R (Sims 104</w:t>
    </w:r>
    <w:r w:rsidR="00AD299D">
      <w:rPr>
        <w:b/>
        <w:szCs w:val="28"/>
      </w:rPr>
      <w:t xml:space="preserve"> &amp; 113B</w:t>
    </w:r>
    <w:r w:rsidRPr="00B52997">
      <w:rPr>
        <w:b/>
        <w:szCs w:val="2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D76BB"/>
    <w:multiLevelType w:val="multilevel"/>
    <w:tmpl w:val="756C3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F42506"/>
    <w:multiLevelType w:val="multilevel"/>
    <w:tmpl w:val="40346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F04484"/>
    <w:multiLevelType w:val="hybridMultilevel"/>
    <w:tmpl w:val="7EAE3A4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34B5BFF"/>
    <w:multiLevelType w:val="hybridMultilevel"/>
    <w:tmpl w:val="20502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101404"/>
    <w:multiLevelType w:val="hybridMultilevel"/>
    <w:tmpl w:val="1D580288"/>
    <w:lvl w:ilvl="0" w:tplc="5FA6FB38">
      <w:numFmt w:val="bullet"/>
      <w:lvlText w:val="-"/>
      <w:lvlJc w:val="left"/>
      <w:pPr>
        <w:ind w:left="720" w:hanging="360"/>
      </w:pPr>
      <w:rPr>
        <w:rFonts w:ascii="Times New Roman" w:eastAsia="Times New Roman" w:hAnsi="Times New Roman" w:cs="Times New Roman" w:hint="default"/>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4A1A9E"/>
    <w:multiLevelType w:val="hybridMultilevel"/>
    <w:tmpl w:val="B428F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2F1398"/>
    <w:multiLevelType w:val="hybridMultilevel"/>
    <w:tmpl w:val="AE8A6A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02C7B16"/>
    <w:multiLevelType w:val="hybridMultilevel"/>
    <w:tmpl w:val="761A5114"/>
    <w:lvl w:ilvl="0" w:tplc="04090001">
      <w:start w:val="1"/>
      <w:numFmt w:val="bullet"/>
      <w:lvlText w:val=""/>
      <w:lvlJc w:val="left"/>
      <w:pPr>
        <w:ind w:left="720" w:hanging="360"/>
      </w:pPr>
      <w:rPr>
        <w:rFonts w:ascii="Symbol" w:hAnsi="Symbol" w:hint="default"/>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4B3061"/>
    <w:multiLevelType w:val="hybridMultilevel"/>
    <w:tmpl w:val="57E43AFE"/>
    <w:lvl w:ilvl="0" w:tplc="5FA6FB38">
      <w:numFmt w:val="bullet"/>
      <w:lvlText w:val="-"/>
      <w:lvlJc w:val="left"/>
      <w:pPr>
        <w:ind w:left="720" w:hanging="360"/>
      </w:pPr>
      <w:rPr>
        <w:rFonts w:ascii="Times New Roman" w:eastAsia="Times New Roman" w:hAnsi="Times New Roman" w:cs="Times New Roman" w:hint="default"/>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4D1829"/>
    <w:multiLevelType w:val="multilevel"/>
    <w:tmpl w:val="420EA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08C18EA"/>
    <w:multiLevelType w:val="multilevel"/>
    <w:tmpl w:val="57E43AFE"/>
    <w:lvl w:ilvl="0">
      <w:numFmt w:val="bullet"/>
      <w:lvlText w:val="-"/>
      <w:lvlJc w:val="left"/>
      <w:pPr>
        <w:ind w:left="720" w:hanging="360"/>
      </w:pPr>
      <w:rPr>
        <w:rFonts w:ascii="Times New Roman" w:eastAsia="Times New Roman" w:hAnsi="Times New Roman" w:cs="Times New Roman" w:hint="default"/>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657B607C"/>
    <w:multiLevelType w:val="multilevel"/>
    <w:tmpl w:val="57E43AFE"/>
    <w:lvl w:ilvl="0">
      <w:numFmt w:val="bullet"/>
      <w:lvlText w:val="-"/>
      <w:lvlJc w:val="left"/>
      <w:pPr>
        <w:ind w:left="720" w:hanging="360"/>
      </w:pPr>
      <w:rPr>
        <w:rFonts w:ascii="Times New Roman" w:eastAsia="Times New Roman" w:hAnsi="Times New Roman" w:cs="Times New Roman" w:hint="default"/>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6A307284"/>
    <w:multiLevelType w:val="hybridMultilevel"/>
    <w:tmpl w:val="F6FCB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AB7B15"/>
    <w:multiLevelType w:val="hybridMultilevel"/>
    <w:tmpl w:val="45183ABE"/>
    <w:lvl w:ilvl="0" w:tplc="04090001">
      <w:start w:val="1"/>
      <w:numFmt w:val="bullet"/>
      <w:lvlText w:val=""/>
      <w:lvlJc w:val="left"/>
      <w:pPr>
        <w:ind w:left="7200" w:hanging="360"/>
      </w:pPr>
      <w:rPr>
        <w:rFonts w:ascii="Symbol" w:hAnsi="Symbol" w:hint="default"/>
      </w:rPr>
    </w:lvl>
    <w:lvl w:ilvl="1" w:tplc="04090003">
      <w:start w:val="1"/>
      <w:numFmt w:val="bullet"/>
      <w:lvlText w:val="o"/>
      <w:lvlJc w:val="left"/>
      <w:pPr>
        <w:ind w:left="7920" w:hanging="360"/>
      </w:pPr>
      <w:rPr>
        <w:rFonts w:ascii="Courier New" w:hAnsi="Courier New" w:cs="Courier New" w:hint="default"/>
      </w:rPr>
    </w:lvl>
    <w:lvl w:ilvl="2" w:tplc="04090005">
      <w:start w:val="1"/>
      <w:numFmt w:val="bullet"/>
      <w:lvlText w:val=""/>
      <w:lvlJc w:val="left"/>
      <w:pPr>
        <w:ind w:left="8640" w:hanging="360"/>
      </w:pPr>
      <w:rPr>
        <w:rFonts w:ascii="Wingdings" w:hAnsi="Wingdings" w:hint="default"/>
      </w:rPr>
    </w:lvl>
    <w:lvl w:ilvl="3" w:tplc="04090001">
      <w:start w:val="1"/>
      <w:numFmt w:val="bullet"/>
      <w:lvlText w:val=""/>
      <w:lvlJc w:val="left"/>
      <w:pPr>
        <w:ind w:left="9360" w:hanging="360"/>
      </w:pPr>
      <w:rPr>
        <w:rFonts w:ascii="Symbol" w:hAnsi="Symbol" w:hint="default"/>
      </w:rPr>
    </w:lvl>
    <w:lvl w:ilvl="4" w:tplc="04090003">
      <w:start w:val="1"/>
      <w:numFmt w:val="bullet"/>
      <w:lvlText w:val="o"/>
      <w:lvlJc w:val="left"/>
      <w:pPr>
        <w:ind w:left="10080" w:hanging="360"/>
      </w:pPr>
      <w:rPr>
        <w:rFonts w:ascii="Courier New" w:hAnsi="Courier New" w:cs="Courier New" w:hint="default"/>
      </w:rPr>
    </w:lvl>
    <w:lvl w:ilvl="5" w:tplc="04090005">
      <w:start w:val="1"/>
      <w:numFmt w:val="bullet"/>
      <w:lvlText w:val=""/>
      <w:lvlJc w:val="left"/>
      <w:pPr>
        <w:ind w:left="10800" w:hanging="360"/>
      </w:pPr>
      <w:rPr>
        <w:rFonts w:ascii="Wingdings" w:hAnsi="Wingdings" w:hint="default"/>
      </w:rPr>
    </w:lvl>
    <w:lvl w:ilvl="6" w:tplc="04090001">
      <w:start w:val="1"/>
      <w:numFmt w:val="bullet"/>
      <w:lvlText w:val=""/>
      <w:lvlJc w:val="left"/>
      <w:pPr>
        <w:ind w:left="11520" w:hanging="360"/>
      </w:pPr>
      <w:rPr>
        <w:rFonts w:ascii="Symbol" w:hAnsi="Symbol" w:hint="default"/>
      </w:rPr>
    </w:lvl>
    <w:lvl w:ilvl="7" w:tplc="04090003">
      <w:start w:val="1"/>
      <w:numFmt w:val="bullet"/>
      <w:lvlText w:val="o"/>
      <w:lvlJc w:val="left"/>
      <w:pPr>
        <w:ind w:left="12240" w:hanging="360"/>
      </w:pPr>
      <w:rPr>
        <w:rFonts w:ascii="Courier New" w:hAnsi="Courier New" w:cs="Courier New" w:hint="default"/>
      </w:rPr>
    </w:lvl>
    <w:lvl w:ilvl="8" w:tplc="04090005">
      <w:start w:val="1"/>
      <w:numFmt w:val="bullet"/>
      <w:lvlText w:val=""/>
      <w:lvlJc w:val="left"/>
      <w:pPr>
        <w:ind w:left="12960" w:hanging="360"/>
      </w:pPr>
      <w:rPr>
        <w:rFonts w:ascii="Wingdings" w:hAnsi="Wingdings" w:hint="default"/>
      </w:rPr>
    </w:lvl>
  </w:abstractNum>
  <w:abstractNum w:abstractNumId="14" w15:restartNumberingAfterBreak="0">
    <w:nsid w:val="718425F5"/>
    <w:multiLevelType w:val="hybridMultilevel"/>
    <w:tmpl w:val="FE50D408"/>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15" w15:restartNumberingAfterBreak="0">
    <w:nsid w:val="7E4B594E"/>
    <w:multiLevelType w:val="hybridMultilevel"/>
    <w:tmpl w:val="B78E700A"/>
    <w:lvl w:ilvl="0" w:tplc="04090001">
      <w:start w:val="1"/>
      <w:numFmt w:val="bullet"/>
      <w:lvlText w:val=""/>
      <w:lvlJc w:val="left"/>
      <w:pPr>
        <w:ind w:left="720" w:hanging="360"/>
      </w:pPr>
      <w:rPr>
        <w:rFonts w:ascii="Symbol" w:hAnsi="Symbol" w:hint="default"/>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0"/>
  </w:num>
  <w:num w:numId="5">
    <w:abstractNumId w:val="2"/>
  </w:num>
  <w:num w:numId="6">
    <w:abstractNumId w:val="12"/>
  </w:num>
  <w:num w:numId="7">
    <w:abstractNumId w:val="8"/>
  </w:num>
  <w:num w:numId="8">
    <w:abstractNumId w:val="4"/>
  </w:num>
  <w:num w:numId="9">
    <w:abstractNumId w:val="11"/>
  </w:num>
  <w:num w:numId="10">
    <w:abstractNumId w:val="7"/>
  </w:num>
  <w:num w:numId="11">
    <w:abstractNumId w:val="10"/>
  </w:num>
  <w:num w:numId="12">
    <w:abstractNumId w:val="15"/>
  </w:num>
  <w:num w:numId="13">
    <w:abstractNumId w:val="3"/>
  </w:num>
  <w:num w:numId="14">
    <w:abstractNumId w:val="5"/>
  </w:num>
  <w:num w:numId="15">
    <w:abstractNumId w:val="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D75"/>
    <w:rsid w:val="00001F9F"/>
    <w:rsid w:val="000140BA"/>
    <w:rsid w:val="000902DA"/>
    <w:rsid w:val="000B0F62"/>
    <w:rsid w:val="000E2C7A"/>
    <w:rsid w:val="000F1293"/>
    <w:rsid w:val="00110282"/>
    <w:rsid w:val="00132A3F"/>
    <w:rsid w:val="00135F99"/>
    <w:rsid w:val="00154918"/>
    <w:rsid w:val="001613EF"/>
    <w:rsid w:val="00172B4A"/>
    <w:rsid w:val="001B3C22"/>
    <w:rsid w:val="001F5382"/>
    <w:rsid w:val="0025556D"/>
    <w:rsid w:val="002659FC"/>
    <w:rsid w:val="002760DD"/>
    <w:rsid w:val="00280458"/>
    <w:rsid w:val="00284564"/>
    <w:rsid w:val="002A0074"/>
    <w:rsid w:val="002D214B"/>
    <w:rsid w:val="002F1997"/>
    <w:rsid w:val="002F1FE3"/>
    <w:rsid w:val="002F5A96"/>
    <w:rsid w:val="002F6B55"/>
    <w:rsid w:val="0033605A"/>
    <w:rsid w:val="00336A47"/>
    <w:rsid w:val="00343933"/>
    <w:rsid w:val="0035194D"/>
    <w:rsid w:val="00366FA9"/>
    <w:rsid w:val="00375913"/>
    <w:rsid w:val="00375E63"/>
    <w:rsid w:val="00384A74"/>
    <w:rsid w:val="00387368"/>
    <w:rsid w:val="003A2525"/>
    <w:rsid w:val="003A550D"/>
    <w:rsid w:val="003A6039"/>
    <w:rsid w:val="003B28B4"/>
    <w:rsid w:val="003B2AB1"/>
    <w:rsid w:val="003D3924"/>
    <w:rsid w:val="003D5397"/>
    <w:rsid w:val="003F06EA"/>
    <w:rsid w:val="00407200"/>
    <w:rsid w:val="0042112E"/>
    <w:rsid w:val="00437894"/>
    <w:rsid w:val="00461262"/>
    <w:rsid w:val="00466675"/>
    <w:rsid w:val="004C6105"/>
    <w:rsid w:val="004F3D5E"/>
    <w:rsid w:val="004F540F"/>
    <w:rsid w:val="00517460"/>
    <w:rsid w:val="00534D89"/>
    <w:rsid w:val="00555F9D"/>
    <w:rsid w:val="0056589E"/>
    <w:rsid w:val="00567D9E"/>
    <w:rsid w:val="00580133"/>
    <w:rsid w:val="005948AA"/>
    <w:rsid w:val="00620364"/>
    <w:rsid w:val="006B63F5"/>
    <w:rsid w:val="006D1535"/>
    <w:rsid w:val="006F6559"/>
    <w:rsid w:val="00703A36"/>
    <w:rsid w:val="00710A85"/>
    <w:rsid w:val="00723BA3"/>
    <w:rsid w:val="00751CE5"/>
    <w:rsid w:val="007932B3"/>
    <w:rsid w:val="007A1410"/>
    <w:rsid w:val="007C5210"/>
    <w:rsid w:val="007D06E6"/>
    <w:rsid w:val="007F2B1C"/>
    <w:rsid w:val="007F3902"/>
    <w:rsid w:val="00805CF3"/>
    <w:rsid w:val="008107B1"/>
    <w:rsid w:val="008143DB"/>
    <w:rsid w:val="008639D5"/>
    <w:rsid w:val="00875250"/>
    <w:rsid w:val="008B6EE9"/>
    <w:rsid w:val="008C7A70"/>
    <w:rsid w:val="008F53ED"/>
    <w:rsid w:val="00912099"/>
    <w:rsid w:val="009155E8"/>
    <w:rsid w:val="00916998"/>
    <w:rsid w:val="00925543"/>
    <w:rsid w:val="009A77C8"/>
    <w:rsid w:val="009D162E"/>
    <w:rsid w:val="009D2C8F"/>
    <w:rsid w:val="009D67DE"/>
    <w:rsid w:val="009F421D"/>
    <w:rsid w:val="00A25F92"/>
    <w:rsid w:val="00A34677"/>
    <w:rsid w:val="00A42F67"/>
    <w:rsid w:val="00A50DC7"/>
    <w:rsid w:val="00A80C53"/>
    <w:rsid w:val="00AC1CFA"/>
    <w:rsid w:val="00AD299D"/>
    <w:rsid w:val="00AE7DE0"/>
    <w:rsid w:val="00AF2E80"/>
    <w:rsid w:val="00AF6620"/>
    <w:rsid w:val="00B00B1D"/>
    <w:rsid w:val="00B52997"/>
    <w:rsid w:val="00B54056"/>
    <w:rsid w:val="00B643A2"/>
    <w:rsid w:val="00B70D75"/>
    <w:rsid w:val="00B94693"/>
    <w:rsid w:val="00B972BA"/>
    <w:rsid w:val="00BA2994"/>
    <w:rsid w:val="00BA5AFD"/>
    <w:rsid w:val="00BC206C"/>
    <w:rsid w:val="00BD2EAF"/>
    <w:rsid w:val="00BD7F03"/>
    <w:rsid w:val="00C143D0"/>
    <w:rsid w:val="00C55BB1"/>
    <w:rsid w:val="00C62BC6"/>
    <w:rsid w:val="00C64E86"/>
    <w:rsid w:val="00CA7163"/>
    <w:rsid w:val="00CE11E6"/>
    <w:rsid w:val="00D01F3E"/>
    <w:rsid w:val="00D31290"/>
    <w:rsid w:val="00D7238F"/>
    <w:rsid w:val="00D97C06"/>
    <w:rsid w:val="00DC5F61"/>
    <w:rsid w:val="00E37F48"/>
    <w:rsid w:val="00E504AB"/>
    <w:rsid w:val="00E8222A"/>
    <w:rsid w:val="00E83688"/>
    <w:rsid w:val="00E94305"/>
    <w:rsid w:val="00EB5B99"/>
    <w:rsid w:val="00EB641F"/>
    <w:rsid w:val="00EC0F7E"/>
    <w:rsid w:val="00ED00C6"/>
    <w:rsid w:val="00EE1335"/>
    <w:rsid w:val="00EE57D5"/>
    <w:rsid w:val="00EF0499"/>
    <w:rsid w:val="00EF108A"/>
    <w:rsid w:val="00EF64C8"/>
    <w:rsid w:val="00F073A6"/>
    <w:rsid w:val="00F2286F"/>
    <w:rsid w:val="00F32518"/>
    <w:rsid w:val="00F345EB"/>
    <w:rsid w:val="00F6394E"/>
    <w:rsid w:val="00F849E7"/>
    <w:rsid w:val="00F96A64"/>
    <w:rsid w:val="00FB12FA"/>
    <w:rsid w:val="00FB2DC6"/>
    <w:rsid w:val="00FC7A82"/>
    <w:rsid w:val="00FD22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B8A74"/>
  <w15:docId w15:val="{8899F168-569B-D048-B458-5316C57D8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0D7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70D75"/>
    <w:rPr>
      <w:color w:val="0000FF"/>
      <w:u w:val="single"/>
    </w:rPr>
  </w:style>
  <w:style w:type="paragraph" w:styleId="Header">
    <w:name w:val="header"/>
    <w:basedOn w:val="Normal"/>
    <w:link w:val="HeaderChar"/>
    <w:unhideWhenUsed/>
    <w:rsid w:val="00B70D75"/>
    <w:pPr>
      <w:tabs>
        <w:tab w:val="center" w:pos="4680"/>
        <w:tab w:val="right" w:pos="9360"/>
      </w:tabs>
    </w:pPr>
  </w:style>
  <w:style w:type="character" w:customStyle="1" w:styleId="HeaderChar">
    <w:name w:val="Header Char"/>
    <w:basedOn w:val="DefaultParagraphFont"/>
    <w:link w:val="Header"/>
    <w:rsid w:val="00B70D7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70D75"/>
    <w:pPr>
      <w:tabs>
        <w:tab w:val="center" w:pos="4680"/>
        <w:tab w:val="right" w:pos="9360"/>
      </w:tabs>
    </w:pPr>
  </w:style>
  <w:style w:type="character" w:customStyle="1" w:styleId="FooterChar">
    <w:name w:val="Footer Char"/>
    <w:basedOn w:val="DefaultParagraphFont"/>
    <w:link w:val="Footer"/>
    <w:uiPriority w:val="99"/>
    <w:rsid w:val="00B70D75"/>
    <w:rPr>
      <w:rFonts w:ascii="Times New Roman" w:eastAsia="Times New Roman" w:hAnsi="Times New Roman" w:cs="Times New Roman"/>
      <w:sz w:val="24"/>
      <w:szCs w:val="24"/>
    </w:rPr>
  </w:style>
  <w:style w:type="paragraph" w:styleId="ListParagraph">
    <w:name w:val="List Paragraph"/>
    <w:basedOn w:val="Normal"/>
    <w:uiPriority w:val="34"/>
    <w:qFormat/>
    <w:rsid w:val="00B70D75"/>
    <w:pPr>
      <w:ind w:left="720"/>
      <w:contextualSpacing/>
    </w:pPr>
  </w:style>
  <w:style w:type="paragraph" w:styleId="BodyText">
    <w:name w:val="Body Text"/>
    <w:basedOn w:val="Normal"/>
    <w:link w:val="BodyTextChar"/>
    <w:rsid w:val="00461262"/>
    <w:pPr>
      <w:spacing w:after="120"/>
    </w:pPr>
  </w:style>
  <w:style w:type="character" w:customStyle="1" w:styleId="BodyTextChar">
    <w:name w:val="Body Text Char"/>
    <w:basedOn w:val="DefaultParagraphFont"/>
    <w:link w:val="BodyText"/>
    <w:rsid w:val="00461262"/>
    <w:rPr>
      <w:rFonts w:ascii="Times New Roman" w:eastAsia="Times New Roman" w:hAnsi="Times New Roman" w:cs="Times New Roman"/>
      <w:sz w:val="24"/>
      <w:szCs w:val="24"/>
    </w:rPr>
  </w:style>
  <w:style w:type="table" w:styleId="TableGrid">
    <w:name w:val="Table Grid"/>
    <w:basedOn w:val="TableNormal"/>
    <w:uiPriority w:val="59"/>
    <w:rsid w:val="002845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0140BA"/>
    <w:pPr>
      <w:spacing w:beforeLines="1" w:afterLines="1"/>
    </w:pPr>
    <w:rPr>
      <w:rFonts w:ascii="Times" w:eastAsia="Times" w:hAnsi="Times"/>
      <w:sz w:val="20"/>
      <w:szCs w:val="20"/>
    </w:rPr>
  </w:style>
  <w:style w:type="character" w:styleId="FollowedHyperlink">
    <w:name w:val="FollowedHyperlink"/>
    <w:basedOn w:val="DefaultParagraphFont"/>
    <w:uiPriority w:val="99"/>
    <w:semiHidden/>
    <w:unhideWhenUsed/>
    <w:rsid w:val="00723BA3"/>
    <w:rPr>
      <w:color w:val="800080" w:themeColor="followedHyperlink"/>
      <w:u w:val="single"/>
    </w:rPr>
  </w:style>
  <w:style w:type="character" w:styleId="Strong">
    <w:name w:val="Strong"/>
    <w:basedOn w:val="DefaultParagraphFont"/>
    <w:uiPriority w:val="22"/>
    <w:qFormat/>
    <w:rsid w:val="00E943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218193">
      <w:bodyDiv w:val="1"/>
      <w:marLeft w:val="0"/>
      <w:marRight w:val="0"/>
      <w:marTop w:val="0"/>
      <w:marBottom w:val="0"/>
      <w:divBdr>
        <w:top w:val="none" w:sz="0" w:space="0" w:color="auto"/>
        <w:left w:val="none" w:sz="0" w:space="0" w:color="auto"/>
        <w:bottom w:val="none" w:sz="0" w:space="0" w:color="auto"/>
        <w:right w:val="none" w:sz="0" w:space="0" w:color="auto"/>
      </w:divBdr>
      <w:divsChild>
        <w:div w:id="2097942653">
          <w:marLeft w:val="0"/>
          <w:marRight w:val="0"/>
          <w:marTop w:val="0"/>
          <w:marBottom w:val="0"/>
          <w:divBdr>
            <w:top w:val="none" w:sz="0" w:space="0" w:color="auto"/>
            <w:left w:val="none" w:sz="0" w:space="0" w:color="auto"/>
            <w:bottom w:val="none" w:sz="0" w:space="0" w:color="auto"/>
            <w:right w:val="none" w:sz="0" w:space="0" w:color="auto"/>
          </w:divBdr>
          <w:divsChild>
            <w:div w:id="854030424">
              <w:marLeft w:val="0"/>
              <w:marRight w:val="0"/>
              <w:marTop w:val="0"/>
              <w:marBottom w:val="0"/>
              <w:divBdr>
                <w:top w:val="none" w:sz="0" w:space="0" w:color="auto"/>
                <w:left w:val="none" w:sz="0" w:space="0" w:color="auto"/>
                <w:bottom w:val="none" w:sz="0" w:space="0" w:color="auto"/>
                <w:right w:val="none" w:sz="0" w:space="0" w:color="auto"/>
              </w:divBdr>
              <w:divsChild>
                <w:div w:id="157215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808711">
      <w:bodyDiv w:val="1"/>
      <w:marLeft w:val="0"/>
      <w:marRight w:val="0"/>
      <w:marTop w:val="0"/>
      <w:marBottom w:val="0"/>
      <w:divBdr>
        <w:top w:val="none" w:sz="0" w:space="0" w:color="auto"/>
        <w:left w:val="none" w:sz="0" w:space="0" w:color="auto"/>
        <w:bottom w:val="none" w:sz="0" w:space="0" w:color="auto"/>
        <w:right w:val="none" w:sz="0" w:space="0" w:color="auto"/>
      </w:divBdr>
      <w:divsChild>
        <w:div w:id="1238858969">
          <w:marLeft w:val="0"/>
          <w:marRight w:val="0"/>
          <w:marTop w:val="0"/>
          <w:marBottom w:val="0"/>
          <w:divBdr>
            <w:top w:val="none" w:sz="0" w:space="0" w:color="auto"/>
            <w:left w:val="none" w:sz="0" w:space="0" w:color="auto"/>
            <w:bottom w:val="none" w:sz="0" w:space="0" w:color="auto"/>
            <w:right w:val="none" w:sz="0" w:space="0" w:color="auto"/>
          </w:divBdr>
          <w:divsChild>
            <w:div w:id="1760559192">
              <w:marLeft w:val="0"/>
              <w:marRight w:val="0"/>
              <w:marTop w:val="0"/>
              <w:marBottom w:val="0"/>
              <w:divBdr>
                <w:top w:val="none" w:sz="0" w:space="0" w:color="auto"/>
                <w:left w:val="none" w:sz="0" w:space="0" w:color="auto"/>
                <w:bottom w:val="none" w:sz="0" w:space="0" w:color="auto"/>
                <w:right w:val="none" w:sz="0" w:space="0" w:color="auto"/>
              </w:divBdr>
              <w:divsChild>
                <w:div w:id="166632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158179">
      <w:bodyDiv w:val="1"/>
      <w:marLeft w:val="0"/>
      <w:marRight w:val="0"/>
      <w:marTop w:val="0"/>
      <w:marBottom w:val="0"/>
      <w:divBdr>
        <w:top w:val="none" w:sz="0" w:space="0" w:color="auto"/>
        <w:left w:val="none" w:sz="0" w:space="0" w:color="auto"/>
        <w:bottom w:val="none" w:sz="0" w:space="0" w:color="auto"/>
        <w:right w:val="none" w:sz="0" w:space="0" w:color="auto"/>
      </w:divBdr>
    </w:div>
    <w:div w:id="1829515810">
      <w:bodyDiv w:val="1"/>
      <w:marLeft w:val="0"/>
      <w:marRight w:val="0"/>
      <w:marTop w:val="0"/>
      <w:marBottom w:val="0"/>
      <w:divBdr>
        <w:top w:val="none" w:sz="0" w:space="0" w:color="auto"/>
        <w:left w:val="none" w:sz="0" w:space="0" w:color="auto"/>
        <w:bottom w:val="none" w:sz="0" w:space="0" w:color="auto"/>
        <w:right w:val="none" w:sz="0" w:space="0" w:color="auto"/>
      </w:divBdr>
      <w:divsChild>
        <w:div w:id="462581754">
          <w:marLeft w:val="0"/>
          <w:marRight w:val="0"/>
          <w:marTop w:val="0"/>
          <w:marBottom w:val="0"/>
          <w:divBdr>
            <w:top w:val="none" w:sz="0" w:space="0" w:color="auto"/>
            <w:left w:val="none" w:sz="0" w:space="0" w:color="auto"/>
            <w:bottom w:val="none" w:sz="0" w:space="0" w:color="auto"/>
            <w:right w:val="none" w:sz="0" w:space="0" w:color="auto"/>
          </w:divBdr>
          <w:divsChild>
            <w:div w:id="919555925">
              <w:marLeft w:val="0"/>
              <w:marRight w:val="0"/>
              <w:marTop w:val="0"/>
              <w:marBottom w:val="0"/>
              <w:divBdr>
                <w:top w:val="none" w:sz="0" w:space="0" w:color="auto"/>
                <w:left w:val="none" w:sz="0" w:space="0" w:color="auto"/>
                <w:bottom w:val="none" w:sz="0" w:space="0" w:color="auto"/>
                <w:right w:val="none" w:sz="0" w:space="0" w:color="auto"/>
              </w:divBdr>
              <w:divsChild>
                <w:div w:id="6241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955351">
      <w:bodyDiv w:val="1"/>
      <w:marLeft w:val="0"/>
      <w:marRight w:val="0"/>
      <w:marTop w:val="0"/>
      <w:marBottom w:val="0"/>
      <w:divBdr>
        <w:top w:val="none" w:sz="0" w:space="0" w:color="auto"/>
        <w:left w:val="none" w:sz="0" w:space="0" w:color="auto"/>
        <w:bottom w:val="none" w:sz="0" w:space="0" w:color="auto"/>
        <w:right w:val="none" w:sz="0" w:space="0" w:color="auto"/>
      </w:divBdr>
      <w:divsChild>
        <w:div w:id="77943847">
          <w:marLeft w:val="0"/>
          <w:marRight w:val="0"/>
          <w:marTop w:val="0"/>
          <w:marBottom w:val="0"/>
          <w:divBdr>
            <w:top w:val="none" w:sz="0" w:space="0" w:color="auto"/>
            <w:left w:val="none" w:sz="0" w:space="0" w:color="auto"/>
            <w:bottom w:val="none" w:sz="0" w:space="0" w:color="auto"/>
            <w:right w:val="none" w:sz="0" w:space="0" w:color="auto"/>
          </w:divBdr>
          <w:divsChild>
            <w:div w:id="1383796837">
              <w:marLeft w:val="0"/>
              <w:marRight w:val="0"/>
              <w:marTop w:val="0"/>
              <w:marBottom w:val="0"/>
              <w:divBdr>
                <w:top w:val="none" w:sz="0" w:space="0" w:color="auto"/>
                <w:left w:val="none" w:sz="0" w:space="0" w:color="auto"/>
                <w:bottom w:val="none" w:sz="0" w:space="0" w:color="auto"/>
                <w:right w:val="none" w:sz="0" w:space="0" w:color="auto"/>
              </w:divBdr>
              <w:divsChild>
                <w:div w:id="89076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rtela@winthrop.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ilto:grattanc@winthrop.ed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ccessibility@winthrop.edu" TargetMode="External"/><Relationship Id="rId5" Type="http://schemas.openxmlformats.org/officeDocument/2006/relationships/footnotes" Target="footnotes.xml"/><Relationship Id="rId10" Type="http://schemas.openxmlformats.org/officeDocument/2006/relationships/hyperlink" Target="http://www2.winthrop.edu/studentaffairs/handbook/StudentHandbook.pdf" TargetMode="External"/><Relationship Id="rId4" Type="http://schemas.openxmlformats.org/officeDocument/2006/relationships/webSettings" Target="webSettings.xml"/><Relationship Id="rId9" Type="http://schemas.openxmlformats.org/officeDocument/2006/relationships/hyperlink" Target="mailto:detricka@winthrop.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1519</Words>
  <Characters>8663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Hartel, Aaron</dc:creator>
  <cp:lastModifiedBy>Microsoft Office User</cp:lastModifiedBy>
  <cp:revision>19</cp:revision>
  <cp:lastPrinted>2014-09-09T15:36:00Z</cp:lastPrinted>
  <dcterms:created xsi:type="dcterms:W3CDTF">2021-11-18T17:36:00Z</dcterms:created>
  <dcterms:modified xsi:type="dcterms:W3CDTF">2023-01-04T14:48:00Z</dcterms:modified>
</cp:coreProperties>
</file>